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b w:val="1"/>
          <w:sz w:val="22"/>
        </w:rPr>
      </w:pPr>
      <w:r>
        <w:rPr>
          <w:b w:val="1"/>
          <w:sz w:val="22"/>
        </w:rPr>
        <w:t>ДОГОВОР О ЗАДАТКЕ</w:t>
      </w:r>
      <w:r>
        <w:rPr>
          <w:b w:val="1"/>
          <w:sz w:val="22"/>
        </w:rPr>
        <w:t xml:space="preserve"> №</w:t>
      </w:r>
      <w:r>
        <w:rPr>
          <w:b w:val="1"/>
          <w:sz w:val="22"/>
        </w:rPr>
        <w:t>_</w:t>
      </w:r>
    </w:p>
    <w:p w14:paraId="02000000">
      <w:pPr>
        <w:ind/>
        <w:jc w:val="both"/>
        <w:rPr>
          <w:sz w:val="22"/>
        </w:rPr>
      </w:pPr>
    </w:p>
    <w:p w14:paraId="03000000">
      <w:pPr>
        <w:rPr>
          <w:sz w:val="22"/>
        </w:rPr>
      </w:pPr>
      <w:r>
        <w:rPr>
          <w:sz w:val="22"/>
        </w:rPr>
        <w:t>г</w:t>
      </w:r>
      <w:r>
        <w:rPr>
          <w:sz w:val="22"/>
        </w:rPr>
        <w:t>.</w:t>
      </w:r>
      <w:r>
        <w:rPr>
          <w:sz w:val="22"/>
        </w:rPr>
        <w:t>Екатеринбург</w:t>
      </w:r>
      <w:r>
        <w:rPr>
          <w:sz w:val="22"/>
        </w:rPr>
        <w:t xml:space="preserve">                                           </w:t>
      </w:r>
      <w:r>
        <w:rPr>
          <w:sz w:val="22"/>
        </w:rPr>
        <w:t xml:space="preserve">                                                </w:t>
      </w:r>
      <w:r>
        <w:rPr>
          <w:sz w:val="22"/>
        </w:rPr>
        <w:t xml:space="preserve">               </w:t>
      </w:r>
      <w:r>
        <w:rPr>
          <w:sz w:val="22"/>
        </w:rPr>
        <w:t xml:space="preserve">  </w:t>
      </w:r>
      <w:r>
        <w:rPr>
          <w:sz w:val="22"/>
        </w:rPr>
        <w:t xml:space="preserve">       </w:t>
      </w:r>
      <w:r>
        <w:rPr>
          <w:sz w:val="22"/>
        </w:rPr>
        <w:t xml:space="preserve">     </w:t>
      </w:r>
      <w:r>
        <w:rPr>
          <w:sz w:val="22"/>
        </w:rPr>
        <w:t xml:space="preserve">     </w:t>
      </w:r>
      <w:r>
        <w:rPr>
          <w:sz w:val="22"/>
        </w:rPr>
        <w:t>«</w:t>
      </w:r>
      <w:r>
        <w:rPr>
          <w:sz w:val="22"/>
        </w:rPr>
        <w:t>__</w:t>
      </w:r>
      <w:r>
        <w:rPr>
          <w:sz w:val="22"/>
        </w:rPr>
        <w:t>»</w:t>
      </w:r>
      <w:r>
        <w:rPr>
          <w:sz w:val="22"/>
        </w:rPr>
        <w:t xml:space="preserve"> </w:t>
      </w:r>
      <w:r>
        <w:rPr>
          <w:sz w:val="22"/>
        </w:rPr>
        <w:t>_____</w:t>
      </w:r>
      <w:r>
        <w:rPr>
          <w:sz w:val="22"/>
        </w:rPr>
        <w:t xml:space="preserve"> 20</w:t>
      </w:r>
      <w:r>
        <w:rPr>
          <w:sz w:val="22"/>
        </w:rPr>
        <w:t>21</w:t>
      </w:r>
      <w:r>
        <w:rPr>
          <w:sz w:val="22"/>
        </w:rPr>
        <w:t xml:space="preserve"> г.                         </w:t>
      </w:r>
    </w:p>
    <w:p w14:paraId="04000000">
      <w:pPr>
        <w:ind/>
        <w:jc w:val="both"/>
        <w:rPr>
          <w:sz w:val="22"/>
        </w:rPr>
      </w:pPr>
    </w:p>
    <w:p w14:paraId="05000000">
      <w:pPr>
        <w:pStyle w:val="Style_1"/>
        <w:widowControl w:val="1"/>
        <w:ind w:firstLine="567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Общество с ограниченной ответственностью «</w:t>
      </w:r>
      <w:r>
        <w:rPr>
          <w:rFonts w:ascii="Times New Roman" w:hAnsi="Times New Roman"/>
          <w:sz w:val="22"/>
        </w:rPr>
        <w:t>Энергетические проекты -Краснотурьинск</w:t>
      </w:r>
      <w:r>
        <w:rPr>
          <w:rFonts w:ascii="Times New Roman" w:hAnsi="Times New Roman"/>
          <w:sz w:val="22"/>
        </w:rPr>
        <w:t xml:space="preserve">», именуемое  в  дальнейшем  Продавец,  в лице Конкурсного управляющего Ростунова А.В., действующего на основании определения Арбитражного суда  </w:t>
      </w:r>
      <w:r>
        <w:rPr>
          <w:rFonts w:ascii="Times New Roman" w:hAnsi="Times New Roman"/>
          <w:sz w:val="22"/>
        </w:rPr>
        <w:t xml:space="preserve">Свердловской области </w:t>
      </w:r>
      <w:r>
        <w:rPr>
          <w:rFonts w:ascii="Times New Roman" w:hAnsi="Times New Roman"/>
          <w:sz w:val="22"/>
        </w:rPr>
        <w:t xml:space="preserve"> от «</w:t>
      </w:r>
      <w:r>
        <w:rPr>
          <w:rFonts w:ascii="Times New Roman" w:hAnsi="Times New Roman"/>
          <w:sz w:val="22"/>
        </w:rPr>
        <w:t>03</w:t>
      </w:r>
      <w:r>
        <w:rPr>
          <w:rFonts w:ascii="Times New Roman" w:hAnsi="Times New Roman"/>
          <w:sz w:val="22"/>
        </w:rPr>
        <w:t xml:space="preserve">» </w:t>
      </w:r>
      <w:r>
        <w:rPr>
          <w:rFonts w:ascii="Times New Roman" w:hAnsi="Times New Roman"/>
          <w:sz w:val="22"/>
        </w:rPr>
        <w:t>декабр</w:t>
      </w:r>
      <w:r>
        <w:rPr>
          <w:rFonts w:ascii="Times New Roman" w:hAnsi="Times New Roman"/>
          <w:sz w:val="22"/>
        </w:rPr>
        <w:t>я 20</w:t>
      </w:r>
      <w:r>
        <w:rPr>
          <w:rFonts w:ascii="Times New Roman" w:hAnsi="Times New Roman"/>
          <w:sz w:val="22"/>
        </w:rPr>
        <w:t>18</w:t>
      </w:r>
      <w:r>
        <w:rPr>
          <w:rFonts w:ascii="Times New Roman" w:hAnsi="Times New Roman"/>
          <w:sz w:val="22"/>
        </w:rPr>
        <w:t>г. по делу № А</w:t>
      </w:r>
      <w:r>
        <w:rPr>
          <w:rFonts w:ascii="Times New Roman" w:hAnsi="Times New Roman"/>
          <w:sz w:val="22"/>
        </w:rPr>
        <w:t>60</w:t>
      </w:r>
      <w:r>
        <w:rPr>
          <w:rFonts w:ascii="Times New Roman" w:hAnsi="Times New Roman"/>
          <w:sz w:val="22"/>
        </w:rPr>
        <w:t>-</w:t>
      </w:r>
      <w:r>
        <w:rPr>
          <w:rFonts w:ascii="Times New Roman" w:hAnsi="Times New Roman"/>
          <w:sz w:val="22"/>
        </w:rPr>
        <w:t>43187</w:t>
      </w:r>
      <w:r>
        <w:rPr>
          <w:rFonts w:ascii="Times New Roman" w:hAnsi="Times New Roman"/>
          <w:sz w:val="22"/>
        </w:rPr>
        <w:t>/201</w:t>
      </w:r>
      <w:r>
        <w:rPr>
          <w:rFonts w:ascii="Times New Roman" w:hAnsi="Times New Roman"/>
          <w:sz w:val="22"/>
        </w:rPr>
        <w:t>5</w:t>
      </w:r>
      <w:r>
        <w:rPr>
          <w:rFonts w:ascii="Times New Roman" w:hAnsi="Times New Roman"/>
          <w:sz w:val="22"/>
        </w:rPr>
        <w:t xml:space="preserve">, именуемое в дальнейшем «Организатор», с одной стороны, и </w:t>
      </w:r>
      <w:r>
        <w:rPr>
          <w:rFonts w:ascii="Times New Roman" w:hAnsi="Times New Roman"/>
          <w:sz w:val="22"/>
        </w:rPr>
        <w:t>__________________, __________________</w:t>
      </w:r>
      <w:r>
        <w:rPr>
          <w:rFonts w:ascii="Times New Roman" w:hAnsi="Times New Roman"/>
          <w:sz w:val="22"/>
        </w:rPr>
        <w:t>, именуемый в дальнейшем «Претендент», с другой стороны, совместно именуемые «Стороны», заключили настоящий договор о нижеследующем:</w:t>
      </w:r>
    </w:p>
    <w:p w14:paraId="06000000">
      <w:pPr>
        <w:ind/>
        <w:jc w:val="both"/>
        <w:rPr>
          <w:sz w:val="22"/>
        </w:rPr>
      </w:pPr>
    </w:p>
    <w:p w14:paraId="07000000">
      <w:pPr>
        <w:numPr>
          <w:ilvl w:val="0"/>
          <w:numId w:val="1"/>
        </w:numPr>
        <w:tabs>
          <w:tab w:leader="none" w:pos="284" w:val="left"/>
        </w:tabs>
        <w:ind w:firstLine="0" w:left="0"/>
        <w:jc w:val="center"/>
        <w:rPr>
          <w:b w:val="1"/>
          <w:sz w:val="22"/>
        </w:rPr>
      </w:pPr>
      <w:r>
        <w:rPr>
          <w:b w:val="1"/>
          <w:sz w:val="22"/>
        </w:rPr>
        <w:t>Предмет договора</w:t>
      </w:r>
    </w:p>
    <w:p w14:paraId="08000000">
      <w:pPr>
        <w:tabs>
          <w:tab w:leader="none" w:pos="284" w:val="left"/>
        </w:tabs>
        <w:ind/>
        <w:rPr>
          <w:b w:val="1"/>
          <w:sz w:val="22"/>
        </w:rPr>
      </w:pPr>
    </w:p>
    <w:p w14:paraId="09000000">
      <w:pPr>
        <w:numPr>
          <w:ilvl w:val="1"/>
          <w:numId w:val="1"/>
        </w:numPr>
        <w:tabs>
          <w:tab w:leader="none" w:pos="0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В соответствии с условиями настоящего договора, для участия в открытых электронных торгах в форме аукциона открытого по составу участников с открытой формой представления предложений о цене, по продаже имущества должника </w:t>
      </w:r>
      <w:r>
        <w:rPr>
          <w:b w:val="1"/>
          <w:sz w:val="22"/>
        </w:rPr>
        <w:t>ООО «</w:t>
      </w:r>
      <w:r>
        <w:rPr>
          <w:b w:val="1"/>
          <w:sz w:val="22"/>
        </w:rPr>
        <w:t>Энергетические проекты -Краснотурьинск</w:t>
      </w:r>
      <w:r>
        <w:rPr>
          <w:b w:val="1"/>
          <w:sz w:val="22"/>
        </w:rPr>
        <w:t xml:space="preserve">», </w:t>
      </w:r>
      <w:r>
        <w:rPr>
          <w:b w:val="1"/>
          <w:sz w:val="22"/>
        </w:rPr>
        <w:t xml:space="preserve">Лот № </w:t>
      </w:r>
      <w:r>
        <w:rPr>
          <w:b w:val="1"/>
          <w:sz w:val="22"/>
        </w:rPr>
        <w:t>_</w:t>
      </w:r>
      <w:r>
        <w:rPr>
          <w:b w:val="1"/>
          <w:sz w:val="22"/>
        </w:rPr>
        <w:t xml:space="preserve"> </w:t>
      </w:r>
      <w:r>
        <w:rPr>
          <w:sz w:val="22"/>
        </w:rPr>
        <w:t>- «</w:t>
      </w:r>
      <w:r>
        <w:rPr>
          <w:sz w:val="22"/>
        </w:rPr>
        <w:t>___________________________________________________________________________</w:t>
      </w:r>
      <w:r>
        <w:rPr>
          <w:sz w:val="22"/>
        </w:rPr>
        <w:t>»,</w:t>
      </w:r>
      <w:r>
        <w:rPr>
          <w:sz w:val="22"/>
        </w:rPr>
        <w:t xml:space="preserve"> начальная цена продажи которого составляет </w:t>
      </w:r>
      <w:r>
        <w:rPr>
          <w:sz w:val="22"/>
        </w:rPr>
        <w:t>________</w:t>
      </w:r>
      <w:r>
        <w:rPr>
          <w:sz w:val="22"/>
        </w:rPr>
        <w:t>,00</w:t>
      </w:r>
      <w:r>
        <w:rPr>
          <w:sz w:val="22"/>
        </w:rPr>
        <w:t xml:space="preserve"> (</w:t>
      </w:r>
      <w:r>
        <w:rPr>
          <w:sz w:val="22"/>
        </w:rPr>
        <w:t>_____________</w:t>
      </w:r>
      <w:r>
        <w:rPr>
          <w:sz w:val="22"/>
        </w:rPr>
        <w:t xml:space="preserve">) рублей </w:t>
      </w:r>
      <w:r>
        <w:rPr>
          <w:sz w:val="22"/>
        </w:rPr>
        <w:t>00 копейки</w:t>
      </w:r>
      <w:r>
        <w:rPr>
          <w:sz w:val="22"/>
        </w:rPr>
        <w:t xml:space="preserve">. </w:t>
      </w:r>
    </w:p>
    <w:p w14:paraId="0A000000">
      <w:pPr>
        <w:numPr>
          <w:ilvl w:val="1"/>
          <w:numId w:val="1"/>
        </w:numPr>
        <w:tabs>
          <w:tab w:leader="none" w:pos="0" w:val="left"/>
        </w:tabs>
        <w:ind/>
        <w:jc w:val="both"/>
        <w:rPr>
          <w:sz w:val="22"/>
        </w:rPr>
      </w:pPr>
      <w:r>
        <w:rPr>
          <w:sz w:val="22"/>
        </w:rPr>
        <w:t xml:space="preserve">Задаток устанавливается в сумме </w:t>
      </w:r>
      <w:r>
        <w:rPr>
          <w:sz w:val="22"/>
        </w:rPr>
        <w:t>______</w:t>
      </w:r>
      <w:r>
        <w:rPr>
          <w:sz w:val="22"/>
        </w:rPr>
        <w:t>,00 (</w:t>
      </w:r>
      <w:r>
        <w:rPr>
          <w:sz w:val="22"/>
        </w:rPr>
        <w:t>_____________________-</w:t>
      </w:r>
      <w:r>
        <w:rPr>
          <w:sz w:val="22"/>
        </w:rPr>
        <w:t>) рублей</w:t>
      </w:r>
      <w:r>
        <w:rPr>
          <w:sz w:val="22"/>
        </w:rPr>
        <w:t xml:space="preserve"> 00 копеек</w:t>
      </w:r>
      <w:r>
        <w:rPr>
          <w:sz w:val="22"/>
        </w:rPr>
        <w:t>, что составляет 10% от стоимости лота на этапе.</w:t>
      </w:r>
      <w:r>
        <w:rPr>
          <w:sz w:val="22"/>
        </w:rPr>
        <w:t xml:space="preserve"> Претендент обязуется внести задаток, в счет обеспечения оплаты приобретаемого на торгах имущества. </w:t>
      </w:r>
    </w:p>
    <w:p w14:paraId="0B000000">
      <w:pPr>
        <w:numPr>
          <w:ilvl w:val="1"/>
          <w:numId w:val="1"/>
        </w:numPr>
        <w:tabs>
          <w:tab w:leader="none" w:pos="0" w:val="left"/>
        </w:tabs>
        <w:ind w:firstLine="0" w:left="0"/>
        <w:jc w:val="both"/>
        <w:rPr>
          <w:sz w:val="22"/>
        </w:rPr>
      </w:pPr>
      <w:r>
        <w:rPr>
          <w:sz w:val="22"/>
        </w:rPr>
        <w:t>Торги</w:t>
      </w:r>
      <w:r>
        <w:rPr>
          <w:sz w:val="22"/>
        </w:rPr>
        <w:t>,</w:t>
      </w:r>
      <w:r>
        <w:rPr>
          <w:sz w:val="22"/>
        </w:rPr>
        <w:t xml:space="preserve"> указанные в п.1.1. будут проводиться на электронной площадке ЗАО «Уральская электронная торговая площадка» (www.</w:t>
      </w:r>
      <w:r>
        <w:rPr>
          <w:sz w:val="22"/>
        </w:rPr>
        <w:t>etpu</w:t>
      </w:r>
      <w:r>
        <w:rPr>
          <w:sz w:val="22"/>
        </w:rPr>
        <w:t xml:space="preserve">.ru). </w:t>
      </w:r>
    </w:p>
    <w:p w14:paraId="0C000000">
      <w:pPr>
        <w:ind/>
        <w:jc w:val="both"/>
        <w:rPr>
          <w:sz w:val="22"/>
        </w:rPr>
      </w:pPr>
    </w:p>
    <w:p w14:paraId="0D000000">
      <w:pPr>
        <w:numPr>
          <w:ilvl w:val="0"/>
          <w:numId w:val="1"/>
        </w:numPr>
        <w:tabs>
          <w:tab w:leader="none" w:pos="284" w:val="left"/>
        </w:tabs>
        <w:ind w:firstLine="0" w:left="0"/>
        <w:jc w:val="center"/>
        <w:rPr>
          <w:b w:val="1"/>
          <w:sz w:val="22"/>
        </w:rPr>
      </w:pPr>
      <w:r>
        <w:rPr>
          <w:b w:val="1"/>
          <w:sz w:val="22"/>
        </w:rPr>
        <w:t>Порядок внесения задатка</w:t>
      </w:r>
    </w:p>
    <w:p w14:paraId="0E000000">
      <w:pPr>
        <w:tabs>
          <w:tab w:leader="none" w:pos="284" w:val="left"/>
        </w:tabs>
        <w:ind/>
        <w:rPr>
          <w:b w:val="1"/>
          <w:sz w:val="22"/>
        </w:rPr>
      </w:pPr>
    </w:p>
    <w:p w14:paraId="0F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Задаток </w:t>
      </w:r>
      <w:r>
        <w:rPr>
          <w:sz w:val="22"/>
        </w:rPr>
        <w:t xml:space="preserve">на участие в торгах торгов </w:t>
      </w:r>
      <w:r>
        <w:rPr>
          <w:sz w:val="22"/>
        </w:rPr>
        <w:t xml:space="preserve">должен поступить </w:t>
      </w:r>
      <w:r>
        <w:rPr>
          <w:sz w:val="22"/>
        </w:rPr>
        <w:t xml:space="preserve">на счет </w:t>
      </w:r>
      <w:r>
        <w:rPr>
          <w:sz w:val="22"/>
        </w:rPr>
        <w:t>Оператора</w:t>
      </w:r>
      <w:r>
        <w:rPr>
          <w:sz w:val="22"/>
        </w:rPr>
        <w:t xml:space="preserve"> торгов</w:t>
      </w:r>
      <w:r>
        <w:rPr>
          <w:sz w:val="22"/>
        </w:rPr>
        <w:t xml:space="preserve"> в течение срока приема заявок - </w:t>
      </w:r>
      <w:r>
        <w:rPr>
          <w:sz w:val="22"/>
        </w:rPr>
        <w:t>в течение</w:t>
      </w:r>
      <w:r>
        <w:rPr>
          <w:sz w:val="22"/>
        </w:rPr>
        <w:t xml:space="preserve"> </w:t>
      </w:r>
      <w:r>
        <w:rPr>
          <w:sz w:val="22"/>
        </w:rPr>
        <w:t xml:space="preserve">2 (Двух) рабочих дней с момента заключения договора о задатке между Претендентом и </w:t>
      </w:r>
      <w:r>
        <w:rPr>
          <w:sz w:val="22"/>
        </w:rPr>
        <w:t>Организатором</w:t>
      </w:r>
      <w:r>
        <w:rPr>
          <w:sz w:val="22"/>
        </w:rPr>
        <w:t xml:space="preserve">, но не позднее дня окончания приема заявок на участие в торгах. </w:t>
      </w:r>
    </w:p>
    <w:p w14:paraId="10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Документом, подтверждающим поступление задатка на счет </w:t>
      </w:r>
      <w:r>
        <w:rPr>
          <w:sz w:val="22"/>
        </w:rPr>
        <w:t>Опера</w:t>
      </w:r>
      <w:r>
        <w:rPr>
          <w:sz w:val="22"/>
        </w:rPr>
        <w:t>тора, является выписка с расчетного счета О</w:t>
      </w:r>
      <w:r>
        <w:rPr>
          <w:sz w:val="22"/>
        </w:rPr>
        <w:t>пера</w:t>
      </w:r>
      <w:r>
        <w:rPr>
          <w:sz w:val="22"/>
        </w:rPr>
        <w:t>тора.</w:t>
      </w:r>
    </w:p>
    <w:p w14:paraId="11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>В случае не поступления суммы задатка, указанной в п.1.2. настоящего договора, в установленный п.2.1. срок, обязательства Претендента по внесению зад</w:t>
      </w:r>
      <w:r>
        <w:rPr>
          <w:sz w:val="22"/>
        </w:rPr>
        <w:t>атка считаются невыполненными, в</w:t>
      </w:r>
      <w:r>
        <w:rPr>
          <w:sz w:val="22"/>
        </w:rPr>
        <w:t xml:space="preserve"> этом случае Претендент к участию в торгах не допускается.</w:t>
      </w:r>
    </w:p>
    <w:p w14:paraId="12000000">
      <w:pPr>
        <w:numPr>
          <w:ilvl w:val="1"/>
          <w:numId w:val="1"/>
        </w:numPr>
        <w:tabs>
          <w:tab w:leader="none" w:pos="0" w:val="left"/>
        </w:tabs>
        <w:ind/>
        <w:jc w:val="both"/>
        <w:rPr>
          <w:sz w:val="22"/>
        </w:rPr>
      </w:pPr>
      <w:r>
        <w:rPr>
          <w:sz w:val="22"/>
        </w:rPr>
        <w:t>Задаток вносится Претендентом путем перечисления денежных средств в валюте Российской Федерации, единовременно, одним платежом</w:t>
      </w:r>
      <w:r>
        <w:rPr>
          <w:sz w:val="22"/>
        </w:rPr>
        <w:t>,</w:t>
      </w:r>
      <w:r>
        <w:rPr>
          <w:sz w:val="22"/>
        </w:rPr>
        <w:t xml:space="preserve"> в полном размере на счет </w:t>
      </w:r>
      <w:r>
        <w:rPr>
          <w:sz w:val="22"/>
        </w:rPr>
        <w:t xml:space="preserve">Оператора торгов по следующим реквизитам: Получатель: </w:t>
      </w:r>
      <w:r>
        <w:rPr>
          <w:b w:val="1"/>
          <w:sz w:val="22"/>
        </w:rPr>
        <w:t>ЗАО «Уральская Электронная Торговая Площадка», ИНН 6658372471/КПП 665801001, р/с</w:t>
      </w:r>
      <w:r>
        <w:rPr>
          <w:b w:val="1"/>
          <w:sz w:val="22"/>
        </w:rPr>
        <w:t xml:space="preserve"> </w:t>
      </w:r>
      <w:r>
        <w:rPr>
          <w:rFonts w:ascii="Times New Roman" w:hAnsi="Times New Roman"/>
          <w:b w:val="1"/>
          <w:color w:val="222222"/>
          <w:sz w:val="22"/>
          <w:highlight w:val="white"/>
        </w:rPr>
        <w:t>4</w:t>
      </w:r>
      <w:r>
        <w:rPr>
          <w:rFonts w:ascii="Times New Roman" w:hAnsi="Times New Roman"/>
          <w:b w:val="1"/>
          <w:color w:val="222222"/>
          <w:sz w:val="22"/>
          <w:highlight w:val="white"/>
        </w:rPr>
        <w:t>0 702 810 1 0297 0000003</w:t>
      </w:r>
      <w:r>
        <w:rPr>
          <w:b w:val="1"/>
          <w:sz w:val="22"/>
        </w:rPr>
        <w:t xml:space="preserve">  в </w:t>
      </w:r>
      <w:r>
        <w:rPr>
          <w:rFonts w:ascii="Times New Roman" w:hAnsi="Times New Roman"/>
          <w:b w:val="1"/>
          <w:color w:val="222222"/>
          <w:sz w:val="22"/>
          <w:highlight w:val="white"/>
        </w:rPr>
        <w:t>ПАО "МОСКОВСКИЙ КРЕДИТНЫЙ БАНК", г. Москва,</w:t>
      </w:r>
      <w:r>
        <w:rPr>
          <w:b w:val="1"/>
          <w:sz w:val="22"/>
        </w:rPr>
        <w:t xml:space="preserve"> к/с </w:t>
      </w:r>
      <w:r>
        <w:rPr>
          <w:rFonts w:ascii="Times New Roman" w:hAnsi="Times New Roman"/>
          <w:b w:val="1"/>
          <w:color w:val="222222"/>
          <w:sz w:val="22"/>
          <w:highlight w:val="white"/>
        </w:rPr>
        <w:t>30101 810 7 4525 0000659</w:t>
      </w:r>
      <w:r>
        <w:rPr>
          <w:b w:val="1"/>
          <w:sz w:val="22"/>
        </w:rPr>
        <w:t xml:space="preserve">, БИК </w:t>
      </w:r>
      <w:r>
        <w:rPr>
          <w:rFonts w:ascii="Times New Roman" w:hAnsi="Times New Roman"/>
          <w:b w:val="1"/>
          <w:color w:val="222222"/>
          <w:sz w:val="22"/>
          <w:highlight w:val="white"/>
        </w:rPr>
        <w:t>044525659</w:t>
      </w:r>
    </w:p>
    <w:p w14:paraId="13000000">
      <w:pPr>
        <w:tabs>
          <w:tab w:leader="none" w:pos="0" w:val="left"/>
        </w:tabs>
        <w:ind/>
        <w:jc w:val="both"/>
        <w:rPr>
          <w:b w:val="1"/>
          <w:sz w:val="22"/>
        </w:rPr>
      </w:pPr>
    </w:p>
    <w:p w14:paraId="14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Претендент в платежном поручении в назначении платежа указывает: </w:t>
      </w:r>
      <w:r>
        <w:rPr>
          <w:b w:val="1"/>
          <w:sz w:val="22"/>
        </w:rPr>
        <w:t xml:space="preserve">«Задаток за участие в торгах </w:t>
      </w:r>
      <w:r>
        <w:rPr>
          <w:b w:val="1"/>
          <w:sz w:val="22"/>
        </w:rPr>
        <w:t xml:space="preserve">№_____  </w:t>
      </w:r>
      <w:r>
        <w:rPr>
          <w:b w:val="1"/>
          <w:sz w:val="22"/>
        </w:rPr>
        <w:t xml:space="preserve">по реализации имущества </w:t>
      </w:r>
      <w:r>
        <w:rPr>
          <w:b w:val="1"/>
          <w:sz w:val="22"/>
        </w:rPr>
        <w:t>ООО</w:t>
      </w:r>
      <w:r>
        <w:rPr>
          <w:b w:val="1"/>
          <w:sz w:val="22"/>
        </w:rPr>
        <w:t xml:space="preserve"> «</w:t>
      </w:r>
      <w:r>
        <w:rPr>
          <w:b w:val="1"/>
          <w:sz w:val="22"/>
        </w:rPr>
        <w:t>Энергетические проекты  -Краснотурьинск</w:t>
      </w:r>
      <w:r>
        <w:rPr>
          <w:b w:val="1"/>
          <w:sz w:val="22"/>
        </w:rPr>
        <w:t xml:space="preserve">», </w:t>
      </w:r>
      <w:r>
        <w:rPr>
          <w:b w:val="1"/>
          <w:sz w:val="22"/>
        </w:rPr>
        <w:t>Л</w:t>
      </w:r>
      <w:r>
        <w:rPr>
          <w:b w:val="1"/>
          <w:sz w:val="22"/>
        </w:rPr>
        <w:t>от №</w:t>
      </w:r>
      <w:r>
        <w:rPr>
          <w:b w:val="1"/>
          <w:sz w:val="22"/>
        </w:rPr>
        <w:t>_</w:t>
      </w:r>
      <w:r>
        <w:rPr>
          <w:b w:val="1"/>
          <w:sz w:val="22"/>
        </w:rPr>
        <w:t>».</w:t>
      </w:r>
    </w:p>
    <w:p w14:paraId="15000000">
      <w:pPr>
        <w:ind/>
        <w:jc w:val="both"/>
        <w:rPr>
          <w:sz w:val="22"/>
        </w:rPr>
      </w:pPr>
    </w:p>
    <w:p w14:paraId="16000000">
      <w:pPr>
        <w:numPr>
          <w:ilvl w:val="0"/>
          <w:numId w:val="1"/>
        </w:numPr>
        <w:tabs>
          <w:tab w:leader="none" w:pos="360" w:val="left"/>
        </w:tabs>
        <w:ind w:firstLine="0" w:left="0"/>
        <w:jc w:val="center"/>
        <w:rPr>
          <w:b w:val="1"/>
          <w:sz w:val="22"/>
        </w:rPr>
      </w:pPr>
      <w:r>
        <w:rPr>
          <w:b w:val="1"/>
          <w:sz w:val="22"/>
        </w:rPr>
        <w:t>Порядок возврата и удержания задатка</w:t>
      </w:r>
    </w:p>
    <w:p w14:paraId="17000000">
      <w:pPr>
        <w:tabs>
          <w:tab w:leader="none" w:pos="360" w:val="left"/>
        </w:tabs>
        <w:ind/>
        <w:rPr>
          <w:b w:val="1"/>
          <w:sz w:val="22"/>
        </w:rPr>
      </w:pPr>
    </w:p>
    <w:p w14:paraId="18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Задаток возвращается в случаях и в сроки, указанные в п.3.2 договора путем перечисления суммы внесенного задатка на указанный в заявке счет Претендента. Претендент обязан незамедлительно информировать </w:t>
      </w:r>
      <w:r>
        <w:rPr>
          <w:sz w:val="22"/>
        </w:rPr>
        <w:t>Организатора торгов</w:t>
      </w:r>
      <w:r>
        <w:rPr>
          <w:sz w:val="22"/>
        </w:rPr>
        <w:t xml:space="preserve"> об изменении своих банковских реквизитов. </w:t>
      </w:r>
      <w:r>
        <w:rPr>
          <w:sz w:val="22"/>
        </w:rPr>
        <w:t xml:space="preserve">Организатор </w:t>
      </w:r>
      <w:r>
        <w:rPr>
          <w:sz w:val="22"/>
        </w:rPr>
        <w:t xml:space="preserve">не отвечает за нарушение установленных настоящим договором сроков возврата задатка в случае, если Претендент своевременно не проинформировал </w:t>
      </w:r>
      <w:r>
        <w:rPr>
          <w:sz w:val="22"/>
        </w:rPr>
        <w:t xml:space="preserve">Организатора торгов </w:t>
      </w:r>
      <w:r>
        <w:rPr>
          <w:sz w:val="22"/>
        </w:rPr>
        <w:t>об изменении своих банковских реквизитов.</w:t>
      </w:r>
    </w:p>
    <w:p w14:paraId="19000000">
      <w:pPr>
        <w:numPr>
          <w:ilvl w:val="1"/>
          <w:numId w:val="1"/>
        </w:numPr>
        <w:ind w:firstLine="0" w:left="0"/>
        <w:jc w:val="both"/>
        <w:rPr>
          <w:sz w:val="22"/>
        </w:rPr>
      </w:pPr>
      <w:r>
        <w:rPr>
          <w:sz w:val="22"/>
        </w:rPr>
        <w:t xml:space="preserve">Возврату подлежит сумма задатка за минусом банковских расходов по переводу и снятию денежных средств (обязательно подтверждается). Внесенный задаток подлежит возврату Претенденту по следующим реквизитам: </w:t>
      </w:r>
      <w:r>
        <w:rPr>
          <w:sz w:val="22"/>
        </w:rPr>
        <w:t>________________</w:t>
      </w:r>
      <w:r>
        <w:rPr>
          <w:sz w:val="22"/>
        </w:rPr>
        <w:t>______________________</w:t>
      </w:r>
      <w:r>
        <w:rPr>
          <w:sz w:val="22"/>
        </w:rPr>
        <w:t xml:space="preserve">             </w:t>
      </w:r>
    </w:p>
    <w:p w14:paraId="1A000000">
      <w:pPr>
        <w:pStyle w:val="Style_1"/>
        <w:widowControl w:val="1"/>
        <w:tabs>
          <w:tab w:leader="none" w:pos="426" w:val="left"/>
        </w:tabs>
        <w:ind w:firstLine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случаях:</w:t>
      </w:r>
    </w:p>
    <w:p w14:paraId="1B000000">
      <w:pPr>
        <w:pStyle w:val="Style_1"/>
        <w:widowControl w:val="1"/>
        <w:numPr>
          <w:ilvl w:val="0"/>
          <w:numId w:val="2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если Претендент не был допущен к участию в торгах. Сумма задатка возвращается Претенденту в течение 5 (пяти) рабочих дней со дня подписания Протокола о результатах торгов; </w:t>
      </w:r>
    </w:p>
    <w:p w14:paraId="1C000000">
      <w:pPr>
        <w:pStyle w:val="Style_1"/>
        <w:widowControl w:val="1"/>
        <w:numPr>
          <w:ilvl w:val="0"/>
          <w:numId w:val="2"/>
        </w:numPr>
        <w:tabs>
          <w:tab w:leader="none" w:pos="426" w:val="left"/>
        </w:tabs>
        <w:ind w:firstLine="0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если Претендент участвовал в торгах, но не был признан победителем торгов. Сумма задатка возвращается Претенденту в течение 5 (пяти) рабочих дней со дня подписания Протокола о результатах торгов; </w:t>
      </w:r>
    </w:p>
    <w:p w14:paraId="1D000000">
      <w:pPr>
        <w:pStyle w:val="Style_2"/>
        <w:numPr>
          <w:ilvl w:val="0"/>
          <w:numId w:val="2"/>
        </w:numPr>
        <w:tabs>
          <w:tab w:leader="none" w:pos="426" w:val="left"/>
        </w:tabs>
        <w:ind w:firstLine="0" w:left="0"/>
        <w:rPr>
          <w:sz w:val="22"/>
        </w:rPr>
      </w:pPr>
      <w:r>
        <w:rPr>
          <w:sz w:val="22"/>
        </w:rPr>
        <w:t xml:space="preserve">если торги по продаже имущества были отменены Организатором торгов. </w:t>
      </w:r>
      <w:r>
        <w:rPr>
          <w:sz w:val="22"/>
        </w:rPr>
        <w:t xml:space="preserve">Организатор торгов </w:t>
      </w:r>
      <w:r>
        <w:rPr>
          <w:sz w:val="22"/>
        </w:rPr>
        <w:t>возвращает сумму внесенного Претендентом</w:t>
      </w:r>
      <w:r>
        <w:rPr>
          <w:b w:val="1"/>
          <w:sz w:val="22"/>
        </w:rPr>
        <w:t xml:space="preserve"> </w:t>
      </w:r>
      <w:r>
        <w:rPr>
          <w:sz w:val="22"/>
        </w:rPr>
        <w:t>задатка в течение 5 (пяти) рабочих дней со дня принятия решения об отмене торгов;</w:t>
      </w:r>
    </w:p>
    <w:p w14:paraId="1E000000">
      <w:pPr>
        <w:pStyle w:val="Style_2"/>
        <w:numPr>
          <w:ilvl w:val="0"/>
          <w:numId w:val="2"/>
        </w:numPr>
        <w:tabs>
          <w:tab w:leader="none" w:pos="426" w:val="left"/>
        </w:tabs>
        <w:ind w:firstLine="0" w:left="0"/>
        <w:rPr>
          <w:sz w:val="22"/>
        </w:rPr>
      </w:pPr>
      <w:r>
        <w:rPr>
          <w:sz w:val="22"/>
        </w:rPr>
        <w:t xml:space="preserve">если Претендент отозвал  заявку на участие в торгах до момента приобретения им статуса участника торгов. </w:t>
      </w:r>
      <w:r>
        <w:rPr>
          <w:sz w:val="22"/>
        </w:rPr>
        <w:t xml:space="preserve">Организатор торгов </w:t>
      </w:r>
      <w:r>
        <w:rPr>
          <w:sz w:val="22"/>
        </w:rPr>
        <w:t xml:space="preserve">возвращает сумму внесенного Претендентом задатка в течение 5 (пяти) рабочих дней со дня подписания Протокола о результатах торгов; </w:t>
      </w:r>
    </w:p>
    <w:p w14:paraId="1F000000">
      <w:pPr>
        <w:pStyle w:val="Style_2"/>
        <w:numPr>
          <w:ilvl w:val="0"/>
          <w:numId w:val="2"/>
        </w:numPr>
        <w:tabs>
          <w:tab w:leader="none" w:pos="426" w:val="left"/>
        </w:tabs>
        <w:ind w:firstLine="0" w:left="0"/>
        <w:rPr>
          <w:sz w:val="22"/>
        </w:rPr>
      </w:pPr>
      <w:r>
        <w:rPr>
          <w:sz w:val="22"/>
        </w:rPr>
        <w:t>если торги признаны несостоявшимися по причине подачи заявки на участие в торгах единственным участником, при этом данный участник был допущен к участию в торгах, Продавец после подписания Организатором торгов Протокола об определении участников торгов и Протокола о результатах торгов, в течение 5 (Пяти) рабочих дней предлагает единственному участнику торгов заключить договор купли-продажи выставляемого на торги имущества, а внесенный им задаток засчитывается в счет оплаты приобретаемого имущества.</w:t>
      </w:r>
    </w:p>
    <w:p w14:paraId="20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В случае признания Претендента Победителем торгов, внесенный им задаток засчитывается в счет оплаты приобретаемого имущества на торгах при подписании Протокола о результатах торгов, имеющего силу договора (при заключении в установленном порядке Договора купли – продажи). </w:t>
      </w:r>
    </w:p>
    <w:p w14:paraId="21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>Организатор подписывает в день определения Победителя торгов протокол о результатах проведения торгов, который имеет силу договора. Внесенный задаток не возвращается в случае, если Претендент, признанный победителем торгов уклонится от подписания Протокола о результатах торгов в установленный срок и подписания договора купли-продажи в течение 5 (пяти) дней с даты получения предложения от Продавца заключить договор купли-продажи имущества, а также в случае уклонения от оплаты продаваемого на торгах имущества, в срок установленный договором купли-продажи имущества.</w:t>
      </w:r>
    </w:p>
    <w:p w14:paraId="22000000">
      <w:pPr>
        <w:tabs>
          <w:tab w:leader="none" w:pos="360" w:val="left"/>
        </w:tabs>
        <w:ind/>
        <w:rPr>
          <w:b w:val="1"/>
          <w:sz w:val="22"/>
        </w:rPr>
      </w:pPr>
    </w:p>
    <w:p w14:paraId="23000000">
      <w:pPr>
        <w:numPr>
          <w:ilvl w:val="0"/>
          <w:numId w:val="1"/>
        </w:numPr>
        <w:tabs>
          <w:tab w:leader="none" w:pos="284" w:val="left"/>
        </w:tabs>
        <w:ind w:firstLine="0" w:left="0"/>
        <w:jc w:val="center"/>
        <w:rPr>
          <w:b w:val="1"/>
          <w:sz w:val="22"/>
        </w:rPr>
      </w:pPr>
      <w:r>
        <w:rPr>
          <w:b w:val="1"/>
          <w:sz w:val="22"/>
        </w:rPr>
        <w:t>Срок действия настоящего договора</w:t>
      </w:r>
    </w:p>
    <w:p w14:paraId="24000000">
      <w:pPr>
        <w:tabs>
          <w:tab w:leader="none" w:pos="284" w:val="left"/>
        </w:tabs>
        <w:ind/>
        <w:rPr>
          <w:b w:val="1"/>
          <w:sz w:val="22"/>
        </w:rPr>
      </w:pPr>
    </w:p>
    <w:p w14:paraId="25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Настоящий договор вступает в силу с момента его подписания Сторонами и прекращает свое действие </w:t>
      </w:r>
      <w:r>
        <w:rPr>
          <w:sz w:val="22"/>
        </w:rPr>
        <w:t>надлежащим своим исполнением.</w:t>
      </w:r>
    </w:p>
    <w:p w14:paraId="26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 xml:space="preserve">Настоящий договор </w:t>
      </w:r>
      <w:r>
        <w:rPr>
          <w:sz w:val="22"/>
        </w:rPr>
        <w:t>регулируется действующим законодательством Российской Федерации.</w:t>
      </w:r>
    </w:p>
    <w:p w14:paraId="27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>Все споры и разногласия, которые могут возникнуть из настоящего договора, будут разрешаться по возможности путем переговоров между сторонами, а при невозможности разрешения споров путем переговоров стороны передают их на рассмотрение в суд Российской Федерации по месту нахождения Организатора торгов.</w:t>
      </w:r>
    </w:p>
    <w:p w14:paraId="28000000">
      <w:pPr>
        <w:numPr>
          <w:ilvl w:val="1"/>
          <w:numId w:val="1"/>
        </w:numPr>
        <w:tabs>
          <w:tab w:leader="none" w:pos="426" w:val="left"/>
        </w:tabs>
        <w:ind w:firstLine="0" w:left="0"/>
        <w:jc w:val="both"/>
        <w:rPr>
          <w:sz w:val="22"/>
        </w:rPr>
      </w:pPr>
      <w:r>
        <w:rPr>
          <w:sz w:val="22"/>
        </w:rPr>
        <w:t>Настоящий договор составлен в двух экземплярах, по одному для каждой из сторон.</w:t>
      </w:r>
    </w:p>
    <w:p w14:paraId="29000000">
      <w:pPr>
        <w:tabs>
          <w:tab w:leader="none" w:pos="426" w:val="left"/>
        </w:tabs>
        <w:ind/>
        <w:jc w:val="both"/>
        <w:rPr>
          <w:sz w:val="22"/>
        </w:rPr>
      </w:pPr>
    </w:p>
    <w:p w14:paraId="2A000000">
      <w:pPr>
        <w:numPr>
          <w:ilvl w:val="0"/>
          <w:numId w:val="1"/>
        </w:numPr>
        <w:tabs>
          <w:tab w:leader="none" w:pos="284" w:val="left"/>
        </w:tabs>
        <w:ind w:firstLine="0" w:left="0"/>
        <w:jc w:val="center"/>
        <w:rPr>
          <w:b w:val="1"/>
          <w:sz w:val="22"/>
        </w:rPr>
      </w:pPr>
      <w:r>
        <w:rPr>
          <w:b w:val="1"/>
          <w:sz w:val="22"/>
        </w:rPr>
        <w:t>Р</w:t>
      </w:r>
      <w:r>
        <w:rPr>
          <w:b w:val="1"/>
          <w:sz w:val="22"/>
        </w:rPr>
        <w:t xml:space="preserve">еквизиты </w:t>
      </w:r>
      <w:r>
        <w:rPr>
          <w:b w:val="1"/>
          <w:sz w:val="22"/>
        </w:rPr>
        <w:t xml:space="preserve">и подписи </w:t>
      </w:r>
      <w:r>
        <w:rPr>
          <w:b w:val="1"/>
          <w:sz w:val="22"/>
        </w:rPr>
        <w:t>сторон</w:t>
      </w:r>
    </w:p>
    <w:p w14:paraId="2B000000">
      <w:pPr>
        <w:tabs>
          <w:tab w:leader="none" w:pos="284" w:val="left"/>
        </w:tabs>
        <w:ind/>
        <w:jc w:val="center"/>
        <w:rPr>
          <w:b w:val="1"/>
          <w:sz w:val="22"/>
        </w:rPr>
      </w:pPr>
    </w:p>
    <w:tbl>
      <w:tblPr>
        <w:tblStyle w:val="Style_3"/>
        <w:tblLayout w:type="fixed"/>
      </w:tblPr>
      <w:tblGrid>
        <w:gridCol w:w="5211"/>
        <w:gridCol w:w="4820"/>
      </w:tblGrid>
      <w:tr>
        <w:trPr>
          <w:trHeight w:hRule="atLeast" w:val="688"/>
        </w:trPr>
        <w:tc>
          <w:tcPr>
            <w:tcW w:type="dxa" w:w="5211"/>
          </w:tcPr>
          <w:p w14:paraId="2C000000">
            <w:pPr>
              <w:pStyle w:val="Style_4"/>
              <w:widowControl w:val="1"/>
              <w:ind/>
              <w:jc w:val="center"/>
              <w:rPr>
                <w:rFonts w:ascii="Times New Roman" w:hAnsi="Times New Roman"/>
                <w:b w:val="1"/>
                <w:sz w:val="22"/>
              </w:rPr>
            </w:pPr>
            <w:r>
              <w:rPr>
                <w:rFonts w:ascii="Times New Roman" w:hAnsi="Times New Roman"/>
                <w:b w:val="1"/>
                <w:sz w:val="22"/>
              </w:rPr>
              <w:t>Продавец</w:t>
            </w:r>
          </w:p>
        </w:tc>
        <w:tc>
          <w:tcPr>
            <w:tcW w:type="dxa" w:w="4820"/>
          </w:tcPr>
          <w:p w14:paraId="2D000000">
            <w:pPr>
              <w:ind/>
              <w:jc w:val="center"/>
              <w:rPr>
                <w:b w:val="1"/>
                <w:sz w:val="22"/>
              </w:rPr>
            </w:pPr>
            <w:r>
              <w:rPr>
                <w:b w:val="1"/>
                <w:sz w:val="22"/>
              </w:rPr>
              <w:t>Покупатель</w:t>
            </w:r>
          </w:p>
        </w:tc>
      </w:tr>
      <w:tr>
        <w:trPr>
          <w:trHeight w:hRule="atLeast" w:val="402"/>
        </w:trPr>
        <w:tc>
          <w:tcPr>
            <w:tcW w:type="dxa" w:w="5211"/>
          </w:tcPr>
          <w:p w14:paraId="2E000000">
            <w:pPr>
              <w:rPr>
                <w:b w:val="1"/>
              </w:rPr>
            </w:pPr>
            <w:r>
              <w:rPr>
                <w:b w:val="1"/>
              </w:rPr>
              <w:t>ООО «Энергетические Проекты - Краснотурьинск»</w:t>
            </w:r>
            <w:r>
              <w:rPr>
                <w:b w:val="1"/>
              </w:rPr>
              <w:t xml:space="preserve">, </w:t>
            </w:r>
          </w:p>
          <w:p w14:paraId="2F000000">
            <w:pPr>
              <w:rPr>
                <w:b w:val="1"/>
              </w:rPr>
            </w:pPr>
            <w:r>
              <w:rPr>
                <w:b w:val="1"/>
              </w:rPr>
              <w:t xml:space="preserve">ИНН </w:t>
            </w:r>
            <w:r>
              <w:rPr>
                <w:b w:val="1"/>
                <w:sz w:val="22"/>
              </w:rPr>
              <w:t>6617021820</w:t>
            </w:r>
            <w:r>
              <w:rPr>
                <w:b w:val="1"/>
              </w:rPr>
              <w:t xml:space="preserve">, КПП </w:t>
            </w:r>
            <w:r>
              <w:rPr>
                <w:b w:val="1"/>
              </w:rPr>
              <w:t>7703</w:t>
            </w:r>
            <w:r>
              <w:rPr>
                <w:b w:val="1"/>
              </w:rPr>
              <w:t xml:space="preserve">01001, Р/с № </w:t>
            </w:r>
            <w:r>
              <w:rPr>
                <w:b w:val="1"/>
                <w:sz w:val="22"/>
              </w:rPr>
              <w:t>40702810916540084622</w:t>
            </w:r>
            <w:r>
              <w:rPr>
                <w:b w:val="1"/>
                <w:sz w:val="22"/>
              </w:rPr>
              <w:t xml:space="preserve"> </w:t>
            </w:r>
            <w:r>
              <w:rPr>
                <w:b w:val="1"/>
              </w:rPr>
              <w:t xml:space="preserve"> в УРАЛЬСКОМ БАНКЕ ПАО СБЕРБАНК г. Екатеринбург, к/с 30101810500000000674, БИК 046577674 </w:t>
            </w:r>
            <w:r>
              <w:rPr>
                <w:b w:val="1"/>
              </w:rPr>
              <w:t>123557, город Москва, пер. Большой Тишинский, д.19, стр.3, ИНН 6617021820, ОГРН 1126617001532</w:t>
            </w:r>
          </w:p>
          <w:p w14:paraId="30000000">
            <w:pPr>
              <w:rPr>
                <w:b w:val="1"/>
              </w:rPr>
            </w:pPr>
            <w:r>
              <w:rPr>
                <w:b w:val="1"/>
              </w:rPr>
              <w:t>К</w:t>
            </w:r>
            <w:r>
              <w:rPr>
                <w:b w:val="1"/>
              </w:rPr>
              <w:t>онкурсн</w:t>
            </w:r>
            <w:r>
              <w:rPr>
                <w:b w:val="1"/>
              </w:rPr>
              <w:t>ый</w:t>
            </w:r>
            <w:r>
              <w:rPr>
                <w:b w:val="1"/>
              </w:rPr>
              <w:t xml:space="preserve"> упр</w:t>
            </w:r>
            <w:r>
              <w:rPr>
                <w:b w:val="1"/>
              </w:rPr>
              <w:t>авляющий</w:t>
            </w:r>
            <w:r>
              <w:rPr>
                <w:b w:val="1"/>
              </w:rPr>
              <w:t xml:space="preserve"> </w:t>
            </w:r>
          </w:p>
          <w:p w14:paraId="31000000">
            <w:pPr>
              <w:rPr>
                <w:b w:val="1"/>
              </w:rPr>
            </w:pPr>
          </w:p>
          <w:p w14:paraId="32000000">
            <w:pPr>
              <w:rPr>
                <w:b w:val="1"/>
              </w:rPr>
            </w:pPr>
            <w:r>
              <w:rPr>
                <w:b w:val="1"/>
              </w:rPr>
              <w:t>_______________</w:t>
            </w:r>
            <w:r>
              <w:rPr>
                <w:b w:val="1"/>
              </w:rPr>
              <w:t>______</w:t>
            </w:r>
            <w:r>
              <w:rPr>
                <w:b w:val="1"/>
              </w:rPr>
              <w:t xml:space="preserve"> </w:t>
            </w:r>
            <w:r>
              <w:rPr>
                <w:b w:val="1"/>
              </w:rPr>
              <w:t>/ Ростунов А.В.</w:t>
            </w:r>
          </w:p>
          <w:p w14:paraId="33000000">
            <w:pPr>
              <w:rPr>
                <w:sz w:val="22"/>
              </w:rPr>
            </w:pPr>
          </w:p>
        </w:tc>
        <w:tc>
          <w:tcPr>
            <w:tcW w:type="dxa" w:w="4820"/>
          </w:tcPr>
          <w:p w14:paraId="34000000">
            <w:pPr>
              <w:ind/>
              <w:jc w:val="both"/>
              <w:rPr>
                <w:sz w:val="22"/>
              </w:rPr>
            </w:pPr>
          </w:p>
          <w:p w14:paraId="35000000">
            <w:pPr>
              <w:ind/>
              <w:jc w:val="both"/>
              <w:rPr>
                <w:sz w:val="22"/>
              </w:rPr>
            </w:pPr>
          </w:p>
          <w:p w14:paraId="36000000">
            <w:pPr>
              <w:rPr>
                <w:b w:val="1"/>
                <w:sz w:val="22"/>
              </w:rPr>
            </w:pPr>
            <w:r>
              <w:rPr>
                <w:b w:val="1"/>
                <w:sz w:val="22"/>
              </w:rPr>
              <w:t>_____________________ /</w:t>
            </w:r>
            <w:r>
              <w:rPr>
                <w:b w:val="1"/>
                <w:sz w:val="22"/>
              </w:rPr>
              <w:t>___________</w:t>
            </w:r>
          </w:p>
          <w:p w14:paraId="37000000">
            <w:pPr>
              <w:ind/>
              <w:jc w:val="both"/>
              <w:rPr>
                <w:sz w:val="22"/>
              </w:rPr>
            </w:pPr>
          </w:p>
        </w:tc>
      </w:tr>
    </w:tbl>
    <w:p w14:paraId="38000000">
      <w:pPr>
        <w:tabs>
          <w:tab w:leader="none" w:pos="284" w:val="left"/>
        </w:tabs>
        <w:ind/>
        <w:jc w:val="center"/>
        <w:rPr>
          <w:b w:val="1"/>
          <w:sz w:val="22"/>
        </w:rPr>
      </w:pPr>
    </w:p>
    <w:p w14:paraId="39000000">
      <w:pPr>
        <w:pStyle w:val="Style_1"/>
        <w:widowControl w:val="1"/>
        <w:ind w:firstLine="0"/>
        <w:rPr>
          <w:rFonts w:ascii="Times New Roman" w:hAnsi="Times New Roman"/>
          <w:b w:val="1"/>
          <w:sz w:val="22"/>
        </w:rPr>
      </w:pPr>
    </w:p>
    <w:p w14:paraId="3A000000">
      <w:pPr>
        <w:rPr>
          <w:sz w:val="22"/>
        </w:rPr>
      </w:pPr>
    </w:p>
    <w:sectPr>
      <w:pgSz w:h="16838" w:w="11906"/>
      <w:pgMar w:bottom="284" w:footer="124" w:gutter="0" w:header="708" w:left="993" w:right="707" w:top="56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420" w:left="420"/>
      </w:pPr>
    </w:lvl>
    <w:lvl w:ilvl="1">
      <w:start w:val="1"/>
      <w:numFmt w:val="decimal"/>
      <w:lvlText w:val="%1.%2."/>
      <w:lvlJc w:val="left"/>
      <w:pPr>
        <w:ind w:hanging="420" w:left="420"/>
      </w:pPr>
    </w:lvl>
    <w:lvl w:ilvl="2">
      <w:start w:val="1"/>
      <w:numFmt w:val="decimal"/>
      <w:lvlText w:val="%1.%2.%3."/>
      <w:lvlJc w:val="left"/>
      <w:pPr>
        <w:ind w:hanging="720" w:left="720"/>
      </w:pPr>
    </w:lvl>
    <w:lvl w:ilvl="3">
      <w:start w:val="1"/>
      <w:numFmt w:val="decimal"/>
      <w:lvlText w:val="%1.%2.%3.%4."/>
      <w:lvlJc w:val="left"/>
      <w:pPr>
        <w:ind w:hanging="720" w:left="720"/>
      </w:pPr>
    </w:lvl>
    <w:lvl w:ilvl="4">
      <w:start w:val="1"/>
      <w:numFmt w:val="decimal"/>
      <w:lvlText w:val="%1.%2.%3.%4.%5."/>
      <w:lvlJc w:val="left"/>
      <w:pPr>
        <w:ind w:hanging="1080" w:left="1080"/>
      </w:pPr>
    </w:lvl>
    <w:lvl w:ilvl="5">
      <w:start w:val="1"/>
      <w:numFmt w:val="decimal"/>
      <w:lvlText w:val="%1.%2.%3.%4.%5.%6."/>
      <w:lvlJc w:val="left"/>
      <w:pPr>
        <w:ind w:hanging="1080" w:left="1080"/>
      </w:pPr>
    </w:lvl>
    <w:lvl w:ilvl="6">
      <w:start w:val="1"/>
      <w:numFmt w:val="decimal"/>
      <w:lvlText w:val="%1.%2.%3.%4.%5.%6.%7."/>
      <w:lvlJc w:val="left"/>
      <w:pPr>
        <w:ind w:hanging="1440" w:left="1440"/>
      </w:pPr>
    </w:lvl>
    <w:lvl w:ilvl="7">
      <w:start w:val="1"/>
      <w:numFmt w:val="decimal"/>
      <w:lvlText w:val="%1.%2.%3.%4.%5.%6.%7.%8."/>
      <w:lvlJc w:val="left"/>
      <w:pPr>
        <w:ind w:hanging="1440" w:left="1440"/>
      </w:pPr>
    </w:lvl>
    <w:lvl w:ilvl="8">
      <w:start w:val="1"/>
      <w:numFmt w:val="decimal"/>
      <w:lvlText w:val="%1.%2.%3.%4.%5.%6.%7.%8.%9."/>
      <w:lvlJc w:val="left"/>
      <w:pPr>
        <w:ind w:hanging="1800" w:left="1800"/>
      </w:pPr>
    </w:lvl>
  </w:abstractNum>
  <w:abstractNum w:abstractNumId="1">
    <w:lvl w:ilvl="0">
      <w:start w:val="1"/>
      <w:numFmt w:val="bullet"/>
      <w:lvlText w:val="-"/>
      <w:lvlJc w:val="left"/>
      <w:pPr>
        <w:ind w:hanging="360" w:left="1146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ind w:hanging="360" w:left="1866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586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3306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4026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746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466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6186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906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rPr>
      <w:sz w:val="24"/>
    </w:rPr>
  </w:style>
  <w:style w:default="1" w:styleId="Style_5_ch" w:type="character">
    <w:name w:val="Normal"/>
    <w:link w:val="Style_5"/>
    <w:rPr>
      <w:sz w:val="24"/>
    </w:rPr>
  </w:style>
  <w:style w:styleId="Style_6" w:type="paragraph">
    <w:name w:val="toc 2"/>
    <w:next w:val="Style_5"/>
    <w:link w:val="Style_6_ch"/>
    <w:uiPriority w:val="39"/>
    <w:pPr>
      <w:ind w:firstLine="0" w:left="200"/>
    </w:pPr>
  </w:style>
  <w:style w:styleId="Style_6_ch" w:type="character">
    <w:name w:val="toc 2"/>
    <w:link w:val="Style_6"/>
  </w:style>
  <w:style w:styleId="Style_7" w:type="paragraph">
    <w:name w:val="toc 4"/>
    <w:next w:val="Style_5"/>
    <w:link w:val="Style_7_ch"/>
    <w:uiPriority w:val="39"/>
    <w:pPr>
      <w:ind w:firstLine="0" w:left="600"/>
    </w:pPr>
  </w:style>
  <w:style w:styleId="Style_7_ch" w:type="character">
    <w:name w:val="toc 4"/>
    <w:link w:val="Style_7"/>
  </w:style>
  <w:style w:styleId="Style_8" w:type="paragraph">
    <w:name w:val="header"/>
    <w:basedOn w:val="Style_5"/>
    <w:link w:val="Style_8_ch"/>
    <w:pPr>
      <w:tabs>
        <w:tab w:leader="none" w:pos="4677" w:val="center"/>
        <w:tab w:leader="none" w:pos="9355" w:val="right"/>
      </w:tabs>
      <w:ind/>
    </w:pPr>
  </w:style>
  <w:style w:styleId="Style_8_ch" w:type="character">
    <w:name w:val="header"/>
    <w:basedOn w:val="Style_5_ch"/>
    <w:link w:val="Style_8"/>
  </w:style>
  <w:style w:styleId="Style_9" w:type="paragraph">
    <w:name w:val="toc 6"/>
    <w:next w:val="Style_5"/>
    <w:link w:val="Style_9_ch"/>
    <w:uiPriority w:val="39"/>
    <w:pPr>
      <w:ind w:firstLine="0" w:left="1000"/>
    </w:pPr>
  </w:style>
  <w:style w:styleId="Style_9_ch" w:type="character">
    <w:name w:val="toc 6"/>
    <w:link w:val="Style_9"/>
  </w:style>
  <w:style w:styleId="Style_10" w:type="paragraph">
    <w:name w:val="toc 7"/>
    <w:next w:val="Style_5"/>
    <w:link w:val="Style_10_ch"/>
    <w:uiPriority w:val="39"/>
    <w:pPr>
      <w:ind w:firstLine="0" w:left="1200"/>
    </w:pPr>
  </w:style>
  <w:style w:styleId="Style_10_ch" w:type="character">
    <w:name w:val="toc 7"/>
    <w:link w:val="Style_10"/>
  </w:style>
  <w:style w:styleId="Style_11" w:type="paragraph">
    <w:name w:val="annotation text"/>
    <w:basedOn w:val="Style_5"/>
    <w:link w:val="Style_11_ch"/>
    <w:rPr>
      <w:sz w:val="20"/>
    </w:rPr>
  </w:style>
  <w:style w:styleId="Style_11_ch" w:type="character">
    <w:name w:val="annotation text"/>
    <w:basedOn w:val="Style_5_ch"/>
    <w:link w:val="Style_11"/>
    <w:rPr>
      <w:sz w:val="20"/>
    </w:rPr>
  </w:style>
  <w:style w:styleId="Style_12" w:type="paragraph">
    <w:name w:val="heading 3"/>
    <w:next w:val="Style_5"/>
    <w:link w:val="Style_12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2_ch" w:type="character">
    <w:name w:val="heading 3"/>
    <w:link w:val="Style_12"/>
    <w:rPr>
      <w:rFonts w:ascii="XO Thames" w:hAnsi="XO Thames"/>
      <w:b w:val="1"/>
      <w:i w:val="1"/>
      <w:color w:val="000000"/>
    </w:rPr>
  </w:style>
  <w:style w:styleId="Style_13" w:type="paragraph">
    <w:name w:val="annotation reference"/>
    <w:link w:val="Style_13_ch"/>
    <w:rPr>
      <w:sz w:val="16"/>
    </w:rPr>
  </w:style>
  <w:style w:styleId="Style_13_ch" w:type="character">
    <w:name w:val="annotation reference"/>
    <w:link w:val="Style_13"/>
    <w:rPr>
      <w:sz w:val="16"/>
    </w:rPr>
  </w:style>
  <w:style w:styleId="Style_14" w:type="paragraph">
    <w:name w:val="annotation subject"/>
    <w:basedOn w:val="Style_11"/>
    <w:next w:val="Style_11"/>
    <w:link w:val="Style_14_ch"/>
    <w:rPr>
      <w:b w:val="1"/>
    </w:rPr>
  </w:style>
  <w:style w:styleId="Style_14_ch" w:type="character">
    <w:name w:val="annotation subject"/>
    <w:basedOn w:val="Style_11_ch"/>
    <w:link w:val="Style_14"/>
    <w:rPr>
      <w:b w:val="1"/>
    </w:rPr>
  </w:style>
  <w:style w:styleId="Style_15" w:type="paragraph">
    <w:name w:val="toc 3"/>
    <w:next w:val="Style_5"/>
    <w:link w:val="Style_15_ch"/>
    <w:uiPriority w:val="39"/>
    <w:pPr>
      <w:ind w:firstLine="0" w:left="400"/>
    </w:pPr>
  </w:style>
  <w:style w:styleId="Style_15_ch" w:type="character">
    <w:name w:val="toc 3"/>
    <w:link w:val="Style_15"/>
  </w:style>
  <w:style w:styleId="Style_16" w:type="paragraph">
    <w:name w:val="Заголовок №1"/>
    <w:basedOn w:val="Style_5"/>
    <w:link w:val="Style_16_ch"/>
    <w:pPr>
      <w:spacing w:after="120" w:before="360" w:line="389" w:lineRule="exact"/>
      <w:ind/>
      <w:outlineLvl w:val="0"/>
    </w:pPr>
    <w:rPr>
      <w:rFonts w:ascii="Calibri" w:hAnsi="Calibri"/>
      <w:b w:val="1"/>
      <w:sz w:val="27"/>
    </w:rPr>
  </w:style>
  <w:style w:styleId="Style_16_ch" w:type="character">
    <w:name w:val="Заголовок №1"/>
    <w:basedOn w:val="Style_5_ch"/>
    <w:link w:val="Style_16"/>
    <w:rPr>
      <w:rFonts w:ascii="Calibri" w:hAnsi="Calibri"/>
      <w:b w:val="1"/>
      <w:sz w:val="27"/>
    </w:rPr>
  </w:style>
  <w:style w:styleId="Style_4" w:type="paragraph">
    <w:name w:val="ConsNonformat"/>
    <w:link w:val="Style_4_ch"/>
    <w:pPr>
      <w:widowControl w:val="0"/>
      <w:ind/>
    </w:pPr>
    <w:rPr>
      <w:rFonts w:ascii="Courier New" w:hAnsi="Courier New"/>
    </w:rPr>
  </w:style>
  <w:style w:styleId="Style_4_ch" w:type="character">
    <w:name w:val="ConsNonformat"/>
    <w:link w:val="Style_4"/>
    <w:rPr>
      <w:rFonts w:ascii="Courier New" w:hAnsi="Courier New"/>
    </w:rPr>
  </w:style>
  <w:style w:styleId="Style_17" w:type="paragraph">
    <w:name w:val="heading 5"/>
    <w:next w:val="Style_5"/>
    <w:link w:val="Style_17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7_ch" w:type="character">
    <w:name w:val="heading 5"/>
    <w:link w:val="Style_17"/>
    <w:rPr>
      <w:rFonts w:ascii="XO Thames" w:hAnsi="XO Thames"/>
      <w:b w:val="1"/>
      <w:color w:val="000000"/>
      <w:sz w:val="22"/>
    </w:rPr>
  </w:style>
  <w:style w:styleId="Style_18" w:type="paragraph">
    <w:name w:val="heading 1"/>
    <w:next w:val="Style_5"/>
    <w:link w:val="Style_18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8_ch" w:type="character">
    <w:name w:val="heading 1"/>
    <w:link w:val="Style_18"/>
    <w:rPr>
      <w:rFonts w:ascii="XO Thames" w:hAnsi="XO Thames"/>
      <w:b w:val="1"/>
      <w:sz w:val="32"/>
    </w:rPr>
  </w:style>
  <w:style w:styleId="Style_19" w:type="paragraph">
    <w:name w:val="Hyperlink"/>
    <w:link w:val="Style_19_ch"/>
    <w:rPr>
      <w:color w:val="0000FF"/>
      <w:u w:val="single"/>
    </w:rPr>
  </w:style>
  <w:style w:styleId="Style_19_ch" w:type="character">
    <w:name w:val="Hyperlink"/>
    <w:link w:val="Style_19"/>
    <w:rPr>
      <w:color w:val="0000FF"/>
      <w:u w:val="single"/>
    </w:rPr>
  </w:style>
  <w:style w:styleId="Style_20" w:type="paragraph">
    <w:name w:val="Footnote"/>
    <w:link w:val="Style_20_ch"/>
    <w:pPr>
      <w:ind/>
      <w:jc w:val="left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toc 1"/>
    <w:next w:val="Style_5"/>
    <w:link w:val="Style_21_ch"/>
    <w:uiPriority w:val="39"/>
    <w:pPr>
      <w:ind w:firstLine="0" w:left="0"/>
    </w:pPr>
    <w:rPr>
      <w:rFonts w:ascii="XO Thames" w:hAnsi="XO Thames"/>
      <w:b w:val="1"/>
    </w:rPr>
  </w:style>
  <w:style w:styleId="Style_21_ch" w:type="character">
    <w:name w:val="toc 1"/>
    <w:link w:val="Style_21"/>
    <w:rPr>
      <w:rFonts w:ascii="XO Thames" w:hAnsi="XO Thames"/>
      <w:b w:val="1"/>
    </w:rPr>
  </w:style>
  <w:style w:styleId="Style_22" w:type="paragraph">
    <w:name w:val="Header and Footer"/>
    <w:link w:val="Style_22_ch"/>
    <w:pPr>
      <w:spacing w:line="360" w:lineRule="auto"/>
      <w:ind/>
    </w:pPr>
    <w:rPr>
      <w:rFonts w:ascii="XO Thames" w:hAnsi="XO Thames"/>
      <w:sz w:val="20"/>
    </w:rPr>
  </w:style>
  <w:style w:styleId="Style_22_ch" w:type="character">
    <w:name w:val="Header and Footer"/>
    <w:link w:val="Style_22"/>
    <w:rPr>
      <w:rFonts w:ascii="XO Thames" w:hAnsi="XO Thames"/>
      <w:sz w:val="20"/>
    </w:rPr>
  </w:style>
  <w:style w:styleId="Style_23" w:type="paragraph">
    <w:name w:val="toc 9"/>
    <w:next w:val="Style_5"/>
    <w:link w:val="Style_23_ch"/>
    <w:uiPriority w:val="39"/>
    <w:pPr>
      <w:ind w:firstLine="0" w:left="1600"/>
    </w:pPr>
  </w:style>
  <w:style w:styleId="Style_23_ch" w:type="character">
    <w:name w:val="toc 9"/>
    <w:link w:val="Style_23"/>
  </w:style>
  <w:style w:styleId="Style_24" w:type="paragraph">
    <w:name w:val="toc 8"/>
    <w:next w:val="Style_5"/>
    <w:link w:val="Style_24_ch"/>
    <w:uiPriority w:val="39"/>
    <w:pPr>
      <w:ind w:firstLine="0" w:left="1400"/>
    </w:pPr>
  </w:style>
  <w:style w:styleId="Style_24_ch" w:type="character">
    <w:name w:val="toc 8"/>
    <w:link w:val="Style_24"/>
  </w:style>
  <w:style w:styleId="Style_1" w:type="paragraph">
    <w:name w:val="ConsNormal"/>
    <w:link w:val="Style_1_ch"/>
    <w:pPr>
      <w:widowControl w:val="0"/>
      <w:ind w:firstLine="720"/>
    </w:pPr>
    <w:rPr>
      <w:rFonts w:ascii="Arial" w:hAnsi="Arial"/>
    </w:rPr>
  </w:style>
  <w:style w:styleId="Style_1_ch" w:type="character">
    <w:name w:val="ConsNormal"/>
    <w:link w:val="Style_1"/>
    <w:rPr>
      <w:rFonts w:ascii="Arial" w:hAnsi="Arial"/>
    </w:rPr>
  </w:style>
  <w:style w:styleId="Style_25" w:type="paragraph">
    <w:name w:val="footer"/>
    <w:basedOn w:val="Style_5"/>
    <w:link w:val="Style_25_ch"/>
    <w:pPr>
      <w:tabs>
        <w:tab w:leader="none" w:pos="4677" w:val="center"/>
        <w:tab w:leader="none" w:pos="9355" w:val="right"/>
      </w:tabs>
      <w:ind/>
    </w:pPr>
  </w:style>
  <w:style w:styleId="Style_25_ch" w:type="character">
    <w:name w:val="footer"/>
    <w:basedOn w:val="Style_5_ch"/>
    <w:link w:val="Style_25"/>
  </w:style>
  <w:style w:styleId="Style_26" w:type="paragraph">
    <w:name w:val="toc 5"/>
    <w:next w:val="Style_5"/>
    <w:link w:val="Style_26_ch"/>
    <w:uiPriority w:val="39"/>
    <w:pPr>
      <w:ind w:firstLine="0" w:left="800"/>
    </w:pPr>
  </w:style>
  <w:style w:styleId="Style_26_ch" w:type="character">
    <w:name w:val="toc 5"/>
    <w:link w:val="Style_26"/>
  </w:style>
  <w:style w:styleId="Style_27" w:type="paragraph">
    <w:name w:val="Default Paragraph Font"/>
    <w:link w:val="Style_27_ch"/>
  </w:style>
  <w:style w:styleId="Style_27_ch" w:type="character">
    <w:name w:val="Default Paragraph Font"/>
    <w:link w:val="Style_27"/>
  </w:style>
  <w:style w:styleId="Style_2" w:type="paragraph">
    <w:name w:val="Body Text Indent"/>
    <w:basedOn w:val="Style_5"/>
    <w:link w:val="Style_2_ch"/>
    <w:pPr>
      <w:ind w:firstLine="567"/>
      <w:jc w:val="both"/>
    </w:pPr>
  </w:style>
  <w:style w:styleId="Style_2_ch" w:type="character">
    <w:name w:val="Body Text Indent"/>
    <w:basedOn w:val="Style_5_ch"/>
    <w:link w:val="Style_2"/>
  </w:style>
  <w:style w:styleId="Style_28" w:type="paragraph">
    <w:name w:val="Balloon Text"/>
    <w:basedOn w:val="Style_5"/>
    <w:link w:val="Style_28_ch"/>
    <w:rPr>
      <w:rFonts w:ascii="Tahoma" w:hAnsi="Tahoma"/>
      <w:sz w:val="16"/>
    </w:rPr>
  </w:style>
  <w:style w:styleId="Style_28_ch" w:type="character">
    <w:name w:val="Balloon Text"/>
    <w:basedOn w:val="Style_5_ch"/>
    <w:link w:val="Style_28"/>
    <w:rPr>
      <w:rFonts w:ascii="Tahoma" w:hAnsi="Tahoma"/>
      <w:sz w:val="16"/>
    </w:rPr>
  </w:style>
  <w:style w:styleId="Style_29" w:type="paragraph">
    <w:name w:val="Subtitle"/>
    <w:next w:val="Style_5"/>
    <w:link w:val="Style_29_ch"/>
    <w:uiPriority w:val="11"/>
    <w:qFormat/>
    <w:rPr>
      <w:rFonts w:ascii="XO Thames" w:hAnsi="XO Thames"/>
      <w:i w:val="1"/>
      <w:color w:val="616161"/>
      <w:sz w:val="24"/>
    </w:rPr>
  </w:style>
  <w:style w:styleId="Style_29_ch" w:type="character">
    <w:name w:val="Subtitle"/>
    <w:link w:val="Style_29"/>
    <w:rPr>
      <w:rFonts w:ascii="XO Thames" w:hAnsi="XO Thames"/>
      <w:i w:val="1"/>
      <w:color w:val="616161"/>
      <w:sz w:val="24"/>
    </w:rPr>
  </w:style>
  <w:style w:styleId="Style_30" w:type="paragraph">
    <w:name w:val="toc 10"/>
    <w:next w:val="Style_5"/>
    <w:link w:val="Style_30_ch"/>
    <w:uiPriority w:val="39"/>
    <w:pPr>
      <w:ind w:firstLine="0" w:left="1800"/>
    </w:pPr>
  </w:style>
  <w:style w:styleId="Style_30_ch" w:type="character">
    <w:name w:val="toc 10"/>
    <w:link w:val="Style_30"/>
  </w:style>
  <w:style w:styleId="Style_31" w:type="paragraph">
    <w:name w:val="Title"/>
    <w:basedOn w:val="Style_5"/>
    <w:link w:val="Style_31_ch"/>
    <w:uiPriority w:val="10"/>
    <w:qFormat/>
    <w:pPr>
      <w:ind/>
      <w:jc w:val="center"/>
    </w:pPr>
    <w:rPr>
      <w:b w:val="1"/>
      <w:sz w:val="28"/>
    </w:rPr>
  </w:style>
  <w:style w:styleId="Style_31_ch" w:type="character">
    <w:name w:val="Title"/>
    <w:basedOn w:val="Style_5_ch"/>
    <w:link w:val="Style_31"/>
    <w:rPr>
      <w:b w:val="1"/>
      <w:sz w:val="28"/>
    </w:rPr>
  </w:style>
  <w:style w:styleId="Style_32" w:type="paragraph">
    <w:name w:val="heading 4"/>
    <w:next w:val="Style_5"/>
    <w:link w:val="Style_32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32_ch" w:type="character">
    <w:name w:val="heading 4"/>
    <w:link w:val="Style_32"/>
    <w:rPr>
      <w:rFonts w:ascii="XO Thames" w:hAnsi="XO Thames"/>
      <w:b w:val="1"/>
      <w:color w:val="595959"/>
      <w:sz w:val="26"/>
    </w:rPr>
  </w:style>
  <w:style w:styleId="Style_33" w:type="paragraph">
    <w:name w:val="wmi-callto"/>
    <w:link w:val="Style_33_ch"/>
  </w:style>
  <w:style w:styleId="Style_33_ch" w:type="character">
    <w:name w:val="wmi-callto"/>
    <w:link w:val="Style_33"/>
  </w:style>
  <w:style w:styleId="Style_34" w:type="paragraph">
    <w:name w:val="heading 2"/>
    <w:next w:val="Style_5"/>
    <w:link w:val="Style_34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34_ch" w:type="character">
    <w:name w:val="heading 2"/>
    <w:link w:val="Style_34"/>
    <w:rPr>
      <w:rFonts w:ascii="XO Thames" w:hAnsi="XO Thames"/>
      <w:b w:val="1"/>
      <w:color w:val="00A0FF"/>
      <w:sz w:val="26"/>
    </w:r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MyOffice-CoreFramework-Windows/22-903.417.5503.534.8@RELEASE-DESKTOP-SORREL_HOME-RC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2022-01-17T14:33:45Z</dcterms:modified>
</cp:coreProperties>
</file>