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3B44A1" w:rsidP="00645A76">
      <w:pPr>
        <w:ind w:firstLine="708"/>
        <w:jc w:val="both"/>
        <w:rPr>
          <w:sz w:val="24"/>
          <w:szCs w:val="24"/>
        </w:rPr>
      </w:pPr>
      <w:r w:rsidRPr="003B44A1">
        <w:rPr>
          <w:spacing w:val="5"/>
          <w:sz w:val="24"/>
          <w:szCs w:val="24"/>
        </w:rPr>
        <w:t>Долгов Виталий Олегович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Pr="003B44A1">
        <w:rPr>
          <w:sz w:val="24"/>
          <w:szCs w:val="24"/>
        </w:rPr>
        <w:t>Решением Арбитражного суда Астраханской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</cp:revision>
  <dcterms:created xsi:type="dcterms:W3CDTF">2025-12-09T08:59:00Z</dcterms:created>
  <dcterms:modified xsi:type="dcterms:W3CDTF">2025-12-09T08:59:00Z</dcterms:modified>
</cp:coreProperties>
</file>