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4F4D40">
        <w:rPr>
          <w:rFonts w:ascii="Times New Roman" w:hAnsi="Times New Roman"/>
          <w:noProof/>
          <w:sz w:val="22"/>
          <w:szCs w:val="20"/>
          <w:lang w:val="ru-RU"/>
        </w:rPr>
        <w:t>Аввакумова Сергея Евгеньевича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4F4D40">
        <w:rPr>
          <w:rFonts w:ascii="Times New Roman" w:hAnsi="Times New Roman"/>
          <w:noProof/>
          <w:sz w:val="22"/>
          <w:szCs w:val="20"/>
          <w:lang w:val="ru-RU"/>
        </w:rPr>
        <w:t>25.03.1980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4F4D40">
        <w:rPr>
          <w:rFonts w:ascii="Times New Roman" w:hAnsi="Times New Roman"/>
          <w:noProof/>
          <w:sz w:val="22"/>
          <w:szCs w:val="20"/>
          <w:lang w:val="ru-RU"/>
        </w:rPr>
        <w:t>г. Магнитогорск Челябинской обл.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4F4D40">
        <w:rPr>
          <w:rFonts w:ascii="Times New Roman" w:hAnsi="Times New Roman"/>
          <w:noProof/>
          <w:sz w:val="22"/>
          <w:szCs w:val="20"/>
          <w:lang w:val="ru-RU"/>
        </w:rPr>
        <w:t>025-387-640 62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4F4D40">
        <w:rPr>
          <w:rFonts w:ascii="Times New Roman" w:hAnsi="Times New Roman"/>
          <w:noProof/>
          <w:sz w:val="22"/>
          <w:szCs w:val="20"/>
          <w:lang w:val="ru-RU"/>
        </w:rPr>
        <w:t>744401213368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4F4D40">
        <w:rPr>
          <w:rFonts w:ascii="Times New Roman" w:hAnsi="Times New Roman"/>
          <w:noProof/>
          <w:sz w:val="22"/>
          <w:szCs w:val="20"/>
          <w:lang w:val="ru-RU"/>
        </w:rPr>
        <w:t>455000, Челябинская область, г. Магнитогорск, ул. Уральская, д. 36, кв. 45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4F4D40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4F4D40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Челябинской области от 15.01.2026 г. (резолютивная часть объявлена 15.01.2026 г.) по делу № А76-41352/2025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5400F1" w:rsidRDefault="005400F1" w:rsidP="00A249F4">
      <w:pPr>
        <w:ind w:firstLine="709"/>
        <w:jc w:val="both"/>
        <w:rPr>
          <w:noProof/>
          <w:sz w:val="24"/>
          <w:szCs w:val="24"/>
        </w:rPr>
      </w:pPr>
      <w:r w:rsidRPr="005400F1">
        <w:rPr>
          <w:noProof/>
          <w:sz w:val="24"/>
          <w:szCs w:val="24"/>
        </w:rPr>
        <w:t>Аввакумов Сергей Евгеньевич, номер счета – 40817810850223508253,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4F4D40">
        <w:rPr>
          <w:rFonts w:ascii="Times New Roman" w:hAnsi="Times New Roman"/>
          <w:noProof/>
          <w:sz w:val="22"/>
          <w:szCs w:val="20"/>
          <w:lang w:val="ru-RU"/>
        </w:rPr>
        <w:t>Аввакумова Сергея Евгеньевича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4F4D40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4F4D40">
        <w:rPr>
          <w:rFonts w:ascii="Times New Roman" w:eastAsia="Times New Roman" w:hAnsi="Times New Roman"/>
          <w:noProof/>
          <w:sz w:val="22"/>
          <w:lang w:val="ru-RU"/>
        </w:rPr>
        <w:t>454091, г. Челябинск, а/я 12989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5400F1" w:rsidRPr="005400F1">
        <w:rPr>
          <w:noProof/>
          <w:sz w:val="22"/>
          <w:szCs w:val="20"/>
        </w:rPr>
        <w:t>Аввакумов Сергей Евгеньевич, номер счета – 40817810850223508253,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4F4D40">
              <w:rPr>
                <w:noProof/>
                <w:sz w:val="22"/>
              </w:rPr>
              <w:t>Е.М. Вовк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A8E" w:rsidRDefault="00D16A8E">
      <w:r>
        <w:separator/>
      </w:r>
    </w:p>
  </w:endnote>
  <w:endnote w:type="continuationSeparator" w:id="0">
    <w:p w:rsidR="00D16A8E" w:rsidRDefault="00D1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5400F1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5400F1" w:rsidRPr="005400F1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5400F1" w:rsidRPr="005400F1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A8E" w:rsidRDefault="00D16A8E">
      <w:pPr>
        <w:pStyle w:val="GenStyleDefPar"/>
      </w:pPr>
      <w:r>
        <w:separator/>
      </w:r>
    </w:p>
  </w:footnote>
  <w:footnote w:type="continuationSeparator" w:id="0">
    <w:p w:rsidR="00D16A8E" w:rsidRDefault="00D16A8E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4F4D40"/>
    <w:rsid w:val="0050201D"/>
    <w:rsid w:val="005054FA"/>
    <w:rsid w:val="005237A0"/>
    <w:rsid w:val="005250C8"/>
    <w:rsid w:val="0053775D"/>
    <w:rsid w:val="005400F1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16A8E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31115EB3-56B0-435B-BF29-BA73B230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2026-04-03T04:31:00Z</dcterms:created>
  <dcterms:modified xsi:type="dcterms:W3CDTF">2026-04-03T04:31:00Z</dcterms:modified>
</cp:coreProperties>
</file>