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Борубаевой Давлеткан Абдалимовны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06.09.1973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г. Ош Кыргызская Республика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147-250-231 39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271103122556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682923, Хабаровский край, р-н Имени Лазо, с. Георгиевка, ул. Центральная, д. 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4642E3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4642E3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Хабаровского края от 22.09.2025 г. по делу № А73-14209/2025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0351CC" w:rsidP="00A249F4">
      <w:pPr>
        <w:ind w:firstLine="709"/>
        <w:jc w:val="both"/>
        <w:rPr>
          <w:sz w:val="24"/>
          <w:szCs w:val="24"/>
        </w:rPr>
      </w:pPr>
      <w:r w:rsidRPr="000351CC">
        <w:rPr>
          <w:noProof/>
          <w:sz w:val="24"/>
          <w:szCs w:val="24"/>
        </w:rPr>
        <w:t>Борубаева Давлеткан Абдалимовна, номер счета – 40817810250220769941,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4642E3">
        <w:rPr>
          <w:rFonts w:ascii="Times New Roman" w:hAnsi="Times New Roman"/>
          <w:noProof/>
          <w:sz w:val="22"/>
          <w:szCs w:val="20"/>
          <w:lang w:val="ru-RU"/>
        </w:rPr>
        <w:t>Борубаевой Давлеткан Абдалимовны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642E3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4642E3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0351CC" w:rsidRPr="000351CC">
        <w:rPr>
          <w:noProof/>
          <w:sz w:val="22"/>
          <w:szCs w:val="20"/>
        </w:rPr>
        <w:t>Борубаева Давлеткан Абдалимовна, номер счета – 40817810250220769941,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4642E3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B6" w:rsidRDefault="00225FB6">
      <w:r>
        <w:separator/>
      </w:r>
    </w:p>
  </w:endnote>
  <w:endnote w:type="continuationSeparator" w:id="0">
    <w:p w:rsidR="00225FB6" w:rsidRDefault="0022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0351C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0351CC" w:rsidRPr="000351CC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0351CC" w:rsidRPr="000351CC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B6" w:rsidRDefault="00225FB6">
      <w:pPr>
        <w:pStyle w:val="GenStyleDefPar"/>
      </w:pPr>
      <w:r>
        <w:separator/>
      </w:r>
    </w:p>
  </w:footnote>
  <w:footnote w:type="continuationSeparator" w:id="0">
    <w:p w:rsidR="00225FB6" w:rsidRDefault="00225FB6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351CC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5FB6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642E3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944DCD5-85AF-473C-8E7A-0DD68F9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2026-02-27T11:38:00Z</dcterms:created>
  <dcterms:modified xsi:type="dcterms:W3CDTF">2026-02-27T11:38:00Z</dcterms:modified>
</cp:coreProperties>
</file>