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944A40">
        <w:rPr>
          <w:rFonts w:ascii="Times New Roman" w:hAnsi="Times New Roman"/>
          <w:noProof/>
          <w:sz w:val="22"/>
          <w:szCs w:val="20"/>
          <w:lang w:val="ru-RU"/>
        </w:rPr>
        <w:t>Полежаевой Дарьи Владимировны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944A40">
        <w:rPr>
          <w:rFonts w:ascii="Times New Roman" w:hAnsi="Times New Roman"/>
          <w:noProof/>
          <w:sz w:val="22"/>
          <w:szCs w:val="20"/>
          <w:lang w:val="ru-RU"/>
        </w:rPr>
        <w:t>05.02.1985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944A40">
        <w:rPr>
          <w:rFonts w:ascii="Times New Roman" w:hAnsi="Times New Roman"/>
          <w:noProof/>
          <w:sz w:val="22"/>
          <w:szCs w:val="20"/>
          <w:lang w:val="ru-RU"/>
        </w:rPr>
        <w:t>пос. Березовка Березовского р-на Красноярского края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944A40">
        <w:rPr>
          <w:rFonts w:ascii="Times New Roman" w:hAnsi="Times New Roman"/>
          <w:noProof/>
          <w:sz w:val="22"/>
          <w:szCs w:val="20"/>
          <w:lang w:val="ru-RU"/>
        </w:rPr>
        <w:t>119-902-826 75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944A40">
        <w:rPr>
          <w:rFonts w:ascii="Times New Roman" w:hAnsi="Times New Roman"/>
          <w:noProof/>
          <w:sz w:val="22"/>
          <w:szCs w:val="20"/>
          <w:lang w:val="ru-RU"/>
        </w:rPr>
        <w:t>240402055650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944A40">
        <w:rPr>
          <w:rFonts w:ascii="Times New Roman" w:hAnsi="Times New Roman"/>
          <w:noProof/>
          <w:sz w:val="22"/>
          <w:szCs w:val="20"/>
          <w:lang w:val="ru-RU"/>
        </w:rPr>
        <w:t>662521, Красноярский край, пгт. Березовка, ул. Тургенева, д. 8, кв. 21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944A40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944A40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Красноярского края от 16.06.2025 г. по делу № А33-6148/2025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9129F4" w:rsidRDefault="009129F4" w:rsidP="00A249F4">
      <w:pPr>
        <w:ind w:firstLine="709"/>
        <w:jc w:val="both"/>
        <w:rPr>
          <w:noProof/>
          <w:sz w:val="24"/>
          <w:szCs w:val="24"/>
        </w:rPr>
      </w:pPr>
      <w:r w:rsidRPr="009129F4">
        <w:rPr>
          <w:noProof/>
          <w:sz w:val="24"/>
          <w:szCs w:val="24"/>
        </w:rPr>
        <w:t>Полежаева Дарья Владимировна, номер счета – 40817810550222052712, Банк получателя – ФИЛИАЛ "ЦЕНТРАЛЬНЫЙ" ПАО "СОВКОМБАНК", БИК – 045004763, Корр.счет – 30101810150040000763, ИНН Банка 4401116480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944A40">
        <w:rPr>
          <w:rFonts w:ascii="Times New Roman" w:hAnsi="Times New Roman"/>
          <w:noProof/>
          <w:sz w:val="22"/>
          <w:szCs w:val="20"/>
          <w:lang w:val="ru-RU"/>
        </w:rPr>
        <w:t>Полежаевой Дарьи Владимировны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944A40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944A40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9129F4" w:rsidRPr="009129F4">
        <w:rPr>
          <w:noProof/>
          <w:sz w:val="22"/>
          <w:szCs w:val="20"/>
        </w:rPr>
        <w:t>Полежаева Дарья Владимировна, номер счета – 40817810550222052712, Банк получателя – ФИЛИАЛ "ЦЕНТРАЛЬНЫЙ" ПАО "СОВКОМБАНК", БИК – 045004763, Корр.счет – 30101810150040000763, ИНН Банка 4401116480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944A40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9D5" w:rsidRDefault="006839D5">
      <w:r>
        <w:separator/>
      </w:r>
    </w:p>
  </w:endnote>
  <w:endnote w:type="continuationSeparator" w:id="0">
    <w:p w:rsidR="006839D5" w:rsidRDefault="0068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9129F4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9129F4" w:rsidRPr="009129F4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9129F4" w:rsidRPr="009129F4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9D5" w:rsidRDefault="006839D5">
      <w:pPr>
        <w:pStyle w:val="GenStyleDefPar"/>
      </w:pPr>
      <w:r>
        <w:separator/>
      </w:r>
    </w:p>
  </w:footnote>
  <w:footnote w:type="continuationSeparator" w:id="0">
    <w:p w:rsidR="006839D5" w:rsidRDefault="006839D5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39D5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29F4"/>
    <w:rsid w:val="0091751B"/>
    <w:rsid w:val="00922543"/>
    <w:rsid w:val="009370D2"/>
    <w:rsid w:val="009443CE"/>
    <w:rsid w:val="00944A40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9FE9E5A-DB72-4700-B0B4-1EC5DFF2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2026-02-12T04:47:00Z</dcterms:created>
  <dcterms:modified xsi:type="dcterms:W3CDTF">2026-02-12T04:47:00Z</dcterms:modified>
</cp:coreProperties>
</file>