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CC2324">
        <w:rPr>
          <w:noProof/>
          <w:sz w:val="24"/>
          <w:szCs w:val="24"/>
        </w:rPr>
        <w:t>Полежаева Дарья Владимировна</w:t>
      </w:r>
      <w:r w:rsidR="006B4D21" w:rsidRPr="0067387C">
        <w:rPr>
          <w:sz w:val="24"/>
          <w:szCs w:val="24"/>
        </w:rPr>
        <w:t xml:space="preserve"> (</w:t>
      </w:r>
      <w:r w:rsidR="00CC2324">
        <w:rPr>
          <w:noProof/>
          <w:sz w:val="24"/>
          <w:szCs w:val="24"/>
        </w:rPr>
        <w:t>05.02.1985</w:t>
      </w:r>
      <w:r w:rsidR="006B4D21" w:rsidRPr="0067387C">
        <w:rPr>
          <w:sz w:val="24"/>
          <w:szCs w:val="24"/>
        </w:rPr>
        <w:t xml:space="preserve"> г.р., место рождения </w:t>
      </w:r>
      <w:r w:rsidR="006B4D21">
        <w:rPr>
          <w:sz w:val="24"/>
          <w:szCs w:val="24"/>
        </w:rPr>
        <w:t xml:space="preserve">- </w:t>
      </w:r>
      <w:r w:rsidR="00CC2324">
        <w:rPr>
          <w:noProof/>
          <w:sz w:val="24"/>
          <w:szCs w:val="24"/>
        </w:rPr>
        <w:t>пос. Березовка Березовского р-на Красноярского края</w:t>
      </w:r>
      <w:r w:rsidR="006B4D21" w:rsidRPr="0067387C">
        <w:rPr>
          <w:sz w:val="24"/>
          <w:szCs w:val="24"/>
        </w:rPr>
        <w:t xml:space="preserve">, ИНН </w:t>
      </w:r>
      <w:r w:rsidR="00CC2324">
        <w:rPr>
          <w:noProof/>
          <w:sz w:val="24"/>
          <w:szCs w:val="24"/>
        </w:rPr>
        <w:t>240402055650</w:t>
      </w:r>
      <w:r w:rsidR="006B4D21" w:rsidRPr="0067387C">
        <w:rPr>
          <w:sz w:val="24"/>
          <w:szCs w:val="24"/>
        </w:rPr>
        <w:t xml:space="preserve">, СНИЛС </w:t>
      </w:r>
      <w:r w:rsidR="00CC2324">
        <w:rPr>
          <w:noProof/>
          <w:sz w:val="24"/>
          <w:szCs w:val="24"/>
        </w:rPr>
        <w:t>119-902-826 75</w:t>
      </w:r>
      <w:r w:rsidR="006B4D21" w:rsidRPr="0067387C">
        <w:rPr>
          <w:sz w:val="24"/>
          <w:szCs w:val="24"/>
        </w:rPr>
        <w:t xml:space="preserve">, адрес регистрации: </w:t>
      </w:r>
      <w:r w:rsidR="00CC2324">
        <w:rPr>
          <w:noProof/>
          <w:sz w:val="24"/>
          <w:szCs w:val="24"/>
        </w:rPr>
        <w:t>662521, Красноярский край, пгт. Березовка, ул. Тургенева, д. 8, кв. 21</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CC2324">
        <w:rPr>
          <w:noProof/>
          <w:sz w:val="24"/>
          <w:szCs w:val="24"/>
        </w:rPr>
        <w:t>Ждановой Дарьи Владимировны</w:t>
      </w:r>
      <w:r w:rsidR="006B4D21" w:rsidRPr="0067387C">
        <w:rPr>
          <w:sz w:val="24"/>
          <w:szCs w:val="24"/>
        </w:rPr>
        <w:t xml:space="preserve">, действующей на основании </w:t>
      </w:r>
      <w:r w:rsidR="00CC2324">
        <w:rPr>
          <w:noProof/>
          <w:sz w:val="24"/>
          <w:szCs w:val="24"/>
        </w:rPr>
        <w:t>решения Арбитражного суда Красноярского края от 16.06.2025 г. по делу № А33-6148/2025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CC2324">
        <w:rPr>
          <w:noProof/>
          <w:sz w:val="24"/>
          <w:szCs w:val="24"/>
        </w:rPr>
        <w:t>Полежаевой Дарьи Владимировны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CC2324">
        <w:rPr>
          <w:noProof/>
        </w:rPr>
        <w:t>Полежаевой Дарьи Владимировны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4B5F8F" w:rsidRPr="004B5F8F">
        <w:rPr>
          <w:noProof/>
        </w:rPr>
        <w:t>Полежаева Дарья Владимировна, номер счета – 40817810250222052711,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CC2324" w:rsidP="006B4D21">
            <w:pPr>
              <w:tabs>
                <w:tab w:val="left" w:pos="602"/>
              </w:tabs>
              <w:jc w:val="both"/>
            </w:pPr>
            <w:r>
              <w:rPr>
                <w:noProof/>
              </w:rPr>
              <w:t>Полежаева Дарья Владимировна</w:t>
            </w:r>
            <w:r w:rsidR="006B4D21" w:rsidRPr="0067387C">
              <w:t xml:space="preserve"> (</w:t>
            </w:r>
            <w:r>
              <w:rPr>
                <w:noProof/>
              </w:rPr>
              <w:t>05.02.1985</w:t>
            </w:r>
            <w:r w:rsidR="006B4D21" w:rsidRPr="0067387C">
              <w:t xml:space="preserve"> г.р., место рождения </w:t>
            </w:r>
            <w:r w:rsidR="006B4D21">
              <w:t xml:space="preserve">- </w:t>
            </w:r>
            <w:r>
              <w:rPr>
                <w:noProof/>
              </w:rPr>
              <w:t>пос. Березовка Березовского р-на Красноярского края</w:t>
            </w:r>
            <w:r w:rsidR="006B4D21" w:rsidRPr="0067387C">
              <w:t xml:space="preserve">, ИНН </w:t>
            </w:r>
            <w:r>
              <w:rPr>
                <w:noProof/>
              </w:rPr>
              <w:t>240402055650</w:t>
            </w:r>
            <w:r w:rsidR="006B4D21" w:rsidRPr="0067387C">
              <w:t xml:space="preserve">, СНИЛС </w:t>
            </w:r>
            <w:r>
              <w:rPr>
                <w:noProof/>
              </w:rPr>
              <w:t>119-902-826 75</w:t>
            </w:r>
            <w:r w:rsidR="006B4D21" w:rsidRPr="0067387C">
              <w:t xml:space="preserve">, адрес регистрации: </w:t>
            </w:r>
            <w:r>
              <w:rPr>
                <w:noProof/>
              </w:rPr>
              <w:t>662521, Красноярский край, пгт. Березовка, ул. Тургенева, д. 8, кв. 21</w:t>
            </w:r>
            <w:r w:rsidR="006B4D21" w:rsidRPr="0067387C">
              <w:t>)</w:t>
            </w:r>
            <w:r w:rsidR="006B4D21" w:rsidRPr="00175E3A">
              <w:t xml:space="preserve">, в лице финансового управляющего </w:t>
            </w:r>
            <w:r>
              <w:rPr>
                <w:noProof/>
              </w:rPr>
              <w:t>Ждановой Дарьи Владимировны</w:t>
            </w:r>
            <w:r w:rsidR="006B4D21" w:rsidRPr="0067387C">
              <w:t xml:space="preserve">, действующей на основании </w:t>
            </w:r>
            <w:r>
              <w:rPr>
                <w:noProof/>
              </w:rPr>
              <w:t>решения Арбитражного суда Красноярского края от 16.06.2025 г. по делу № А33-6148/2025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4B5F8F" w:rsidRPr="004B5F8F">
              <w:rPr>
                <w:noProof/>
              </w:rPr>
              <w:t>Полежаева Дарья Владимировна, номер счета – 40817810250222052711,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CC2324">
              <w:rPr>
                <w:iCs/>
                <w:noProof/>
              </w:rPr>
              <w:t>Д.В. Жданова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9C5" w:rsidRDefault="008C69C5">
      <w:r>
        <w:separator/>
      </w:r>
    </w:p>
  </w:endnote>
  <w:endnote w:type="continuationSeparator" w:id="0">
    <w:p w:rsidR="008C69C5" w:rsidRDefault="008C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4B5F8F">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B5F8F" w:rsidRPr="004B5F8F">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B5F8F" w:rsidRPr="004B5F8F">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9C5" w:rsidRDefault="008C69C5">
      <w:pPr>
        <w:pStyle w:val="GenStyleDefPar"/>
      </w:pPr>
      <w:r>
        <w:separator/>
      </w:r>
    </w:p>
  </w:footnote>
  <w:footnote w:type="continuationSeparator" w:id="0">
    <w:p w:rsidR="008C69C5" w:rsidRDefault="008C69C5">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B5F8F"/>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C69C5"/>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324"/>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BCFF3E48-FC01-430C-A539-AE05D1AF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2026-02-12T04:48:00Z</dcterms:created>
  <dcterms:modified xsi:type="dcterms:W3CDTF">2026-02-12T04:48:00Z</dcterms:modified>
</cp:coreProperties>
</file>