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Каракуловой Полины Сергеевны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18.12.2004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г. Ижевск Удмуртская Республика 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171-550-098 52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183513193406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426076, Удмуртская Республика, г. Ижевск, ул. Коммунаров, д. 177, кв. 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AA5D11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A5D11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Удмуртской Республики от 06.10.2025 г. (резолютивная часть объявлена 06.10.2025 г.) по делу № А71-11623/2025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A5D11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Каракулова Полина Сергеевна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40817810950206534636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A5D11">
        <w:rPr>
          <w:rFonts w:ascii="Times New Roman" w:hAnsi="Times New Roman"/>
          <w:noProof/>
          <w:sz w:val="22"/>
          <w:szCs w:val="20"/>
          <w:lang w:val="ru-RU"/>
        </w:rPr>
        <w:t>Каракуловой Полины Сергеевны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AA5D11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AA5D11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A5D11">
        <w:rPr>
          <w:noProof/>
          <w:sz w:val="22"/>
          <w:szCs w:val="20"/>
        </w:rPr>
        <w:t>Каракулова Полина Сергеевна</w:t>
      </w:r>
      <w:r w:rsidR="00103B8A" w:rsidRPr="004F3C75">
        <w:rPr>
          <w:sz w:val="22"/>
          <w:szCs w:val="20"/>
        </w:rPr>
        <w:t xml:space="preserve">, номер счета – </w:t>
      </w:r>
      <w:r w:rsidR="00AA5D11">
        <w:rPr>
          <w:noProof/>
          <w:sz w:val="22"/>
          <w:szCs w:val="20"/>
        </w:rPr>
        <w:t>40817810950206534636</w:t>
      </w:r>
      <w:r w:rsidR="00103B8A" w:rsidRPr="004F3C75">
        <w:rPr>
          <w:sz w:val="22"/>
          <w:szCs w:val="20"/>
        </w:rPr>
        <w:t xml:space="preserve">, Банк получателя – </w:t>
      </w:r>
      <w:r w:rsidR="00AA5D11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AA5D11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AA5D11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AA5D11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AA5D11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55" w:rsidRDefault="00A03655">
      <w:r>
        <w:separator/>
      </w:r>
    </w:p>
  </w:endnote>
  <w:endnote w:type="continuationSeparator" w:id="0">
    <w:p w:rsidR="00A03655" w:rsidRDefault="00A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23AEE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23AEE" w:rsidRPr="00123AEE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23AEE" w:rsidRPr="00123AEE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55" w:rsidRDefault="00A03655">
      <w:pPr>
        <w:pStyle w:val="GenStyleDefPar"/>
      </w:pPr>
      <w:r>
        <w:separator/>
      </w:r>
    </w:p>
  </w:footnote>
  <w:footnote w:type="continuationSeparator" w:id="0">
    <w:p w:rsidR="00A03655" w:rsidRDefault="00A0365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23AEE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03655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A5D11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9624381-21CB-44C2-B2B0-43D9BBAF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2026-03-26T04:49:00Z</dcterms:created>
  <dcterms:modified xsi:type="dcterms:W3CDTF">2026-03-26T04:49:00Z</dcterms:modified>
</cp:coreProperties>
</file>