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4CF24F68"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856092" w:rsidRPr="00856092">
        <w:rPr>
          <w:sz w:val="24"/>
          <w:szCs w:val="24"/>
        </w:rPr>
        <w:t xml:space="preserve">Скиба Владислав Владимирович (14.07.2000 г.р., место рождения: г. Магнитогорск Челябинская обл., адрес регистрации: Челябинская обл., г. Магнитогорск, ул. </w:t>
      </w:r>
      <w:proofErr w:type="spellStart"/>
      <w:r w:rsidR="00856092" w:rsidRPr="00856092">
        <w:rPr>
          <w:sz w:val="24"/>
          <w:szCs w:val="24"/>
        </w:rPr>
        <w:t>Галиуллина</w:t>
      </w:r>
      <w:proofErr w:type="spellEnd"/>
      <w:r w:rsidR="00856092" w:rsidRPr="00856092">
        <w:rPr>
          <w:sz w:val="24"/>
          <w:szCs w:val="24"/>
        </w:rPr>
        <w:t>, д. 9, кв. 89, СНИЛС 161-764-481 80, ИНН 744610526692)</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856092" w:rsidRPr="00856092">
        <w:rPr>
          <w:sz w:val="24"/>
          <w:szCs w:val="24"/>
        </w:rPr>
        <w:t>Челябинской области от 15.09.2025 г. (решение опубликовано 16.09.2025 г.) по делу № А76-20562/2025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69D6C270" w:rsidR="00686D54" w:rsidRPr="004A0EBA" w:rsidRDefault="00856092">
      <w:pPr>
        <w:ind w:firstLine="708"/>
        <w:jc w:val="both"/>
        <w:rPr>
          <w:color w:val="000000"/>
        </w:rPr>
      </w:pPr>
      <w:bookmarkStart w:id="0" w:name="_Hlk185424540"/>
      <w:r w:rsidRPr="00856092">
        <w:t>Скиба Владислав Владимирович</w:t>
      </w:r>
      <w:r w:rsidR="00AF27B7">
        <w:t>,</w:t>
      </w:r>
      <w:r w:rsidR="008F3589" w:rsidRPr="008F3589">
        <w:t xml:space="preserve"> номер счета – </w:t>
      </w:r>
      <w:r w:rsidRPr="00856092">
        <w:t>40817810450223592795</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0"/>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194ECE29" w14:textId="4C945731" w:rsidR="003C5E47" w:rsidRDefault="00856092" w:rsidP="0097379A">
            <w:pPr>
              <w:tabs>
                <w:tab w:val="left" w:pos="602"/>
              </w:tabs>
              <w:jc w:val="both"/>
              <w:rPr>
                <w:color w:val="000000"/>
              </w:rPr>
            </w:pPr>
            <w:r w:rsidRPr="00856092">
              <w:rPr>
                <w:color w:val="000000"/>
              </w:rPr>
              <w:t xml:space="preserve">Скиба Владислав Владимирович (14.07.2000 г.р., место рождения: г. Магнитогорск Челябинская обл., адрес регистрации: Челябинская обл., г. Магнитогорск, ул. </w:t>
            </w:r>
            <w:proofErr w:type="spellStart"/>
            <w:r w:rsidRPr="00856092">
              <w:rPr>
                <w:color w:val="000000"/>
              </w:rPr>
              <w:t>Галиуллина</w:t>
            </w:r>
            <w:proofErr w:type="spellEnd"/>
            <w:r w:rsidRPr="00856092">
              <w:rPr>
                <w:color w:val="000000"/>
              </w:rPr>
              <w:t>, д. 9, кв. 89, СНИЛС 161-764-481 80, ИНН 744610526692), именуемый в дальнейшем «Продавец», в лице финансового управляющего Бондаренко Алексея Александровича, действующего на основании Решения Арбитражного суда Челябинской област</w:t>
            </w:r>
            <w:bookmarkStart w:id="1" w:name="_GoBack"/>
            <w:bookmarkEnd w:id="1"/>
            <w:r w:rsidRPr="00856092">
              <w:rPr>
                <w:color w:val="000000"/>
              </w:rPr>
              <w:t>и от 15.09.2025 г. (решение опубликовано 16.09.2025 г.) по делу № А76-20562/2025</w:t>
            </w:r>
          </w:p>
          <w:p w14:paraId="71E1C2D2" w14:textId="77777777" w:rsidR="00856092" w:rsidRDefault="00856092" w:rsidP="0097379A">
            <w:pPr>
              <w:tabs>
                <w:tab w:val="left" w:pos="602"/>
              </w:tabs>
              <w:jc w:val="both"/>
              <w:rPr>
                <w:color w:val="000000"/>
              </w:rPr>
            </w:pPr>
          </w:p>
          <w:p w14:paraId="1EA54F63" w14:textId="7362A8C3" w:rsidR="00FA66E7" w:rsidRPr="004A0EBA" w:rsidRDefault="00856092" w:rsidP="0097379A">
            <w:pPr>
              <w:tabs>
                <w:tab w:val="left" w:pos="602"/>
              </w:tabs>
              <w:jc w:val="both"/>
              <w:rPr>
                <w:color w:val="000000"/>
              </w:rPr>
            </w:pPr>
            <w:r w:rsidRPr="00856092">
              <w:rPr>
                <w:color w:val="000000"/>
              </w:rPr>
              <w:t xml:space="preserve">Скиба Владислав Владимирович, номер счета – 40817810450223592795, Банк получателя – ФИЛИАЛ "ЦЕНТРАЛЬНЫЙ" ПАО "СОВКОМБАНК", БИК – 045004763, </w:t>
            </w:r>
            <w:proofErr w:type="spellStart"/>
            <w:r w:rsidRPr="00856092">
              <w:rPr>
                <w:color w:val="000000"/>
              </w:rPr>
              <w:t>Корр.счет</w:t>
            </w:r>
            <w:proofErr w:type="spellEnd"/>
            <w:r w:rsidRPr="00856092">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05EED" w14:textId="77777777" w:rsidR="00502EAD" w:rsidRDefault="00502EAD">
      <w:r>
        <w:separator/>
      </w:r>
    </w:p>
  </w:endnote>
  <w:endnote w:type="continuationSeparator" w:id="0">
    <w:p w14:paraId="46A2BD33" w14:textId="77777777" w:rsidR="00502EAD" w:rsidRDefault="0050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462C7" w14:textId="77777777" w:rsidR="00502EAD" w:rsidRDefault="00502EAD">
      <w:pPr>
        <w:pStyle w:val="GenStyleDefPar"/>
      </w:pPr>
      <w:r>
        <w:separator/>
      </w:r>
    </w:p>
  </w:footnote>
  <w:footnote w:type="continuationSeparator" w:id="0">
    <w:p w14:paraId="7D27750C" w14:textId="77777777" w:rsidR="00502EAD" w:rsidRDefault="00502EA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EAD"/>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56092"/>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52</cp:revision>
  <dcterms:created xsi:type="dcterms:W3CDTF">2022-02-22T16:37:00Z</dcterms:created>
  <dcterms:modified xsi:type="dcterms:W3CDTF">2026-04-13T18:49:00Z</dcterms:modified>
</cp:coreProperties>
</file>