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AF427">
      <w:pPr>
        <w:jc w:val="center"/>
        <w:rPr>
          <w:b/>
        </w:rPr>
      </w:pPr>
      <w:r>
        <w:rPr>
          <w:b/>
        </w:rPr>
        <w:t>Положение</w:t>
      </w:r>
    </w:p>
    <w:p w14:paraId="33956525">
      <w:pPr>
        <w:jc w:val="center"/>
        <w:rPr>
          <w:b/>
        </w:rPr>
      </w:pPr>
      <w:r>
        <w:rPr>
          <w:b/>
        </w:rPr>
        <w:t xml:space="preserve">о порядке, об условиях и о сроках реализации имущества принадлежащего </w:t>
      </w:r>
    </w:p>
    <w:p w14:paraId="4FA21C5C">
      <w:pPr>
        <w:jc w:val="center"/>
      </w:pPr>
      <w:r>
        <w:rPr>
          <w:b/>
        </w:rPr>
        <w:t>Смирновой Юлии Александровны</w:t>
      </w:r>
      <w:r>
        <w:t xml:space="preserve"> </w:t>
      </w:r>
      <w:r>
        <w:rPr>
          <w:b/>
        </w:rPr>
        <w:t>на праве индивидуальной собственности</w:t>
      </w:r>
      <w:r>
        <w:t>.</w:t>
      </w:r>
    </w:p>
    <w:p w14:paraId="1926C29A">
      <w:pPr>
        <w:pStyle w:val="7"/>
        <w:jc w:val="center"/>
        <w:rPr>
          <w:b/>
          <w:sz w:val="16"/>
          <w:szCs w:val="16"/>
        </w:rPr>
      </w:pPr>
    </w:p>
    <w:tbl>
      <w:tblPr>
        <w:tblStyle w:val="3"/>
        <w:tblW w:w="97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1567"/>
        <w:gridCol w:w="7720"/>
      </w:tblGrid>
      <w:tr w14:paraId="3C1A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0" w:hRule="atLeast"/>
          <w:jc w:val="center"/>
        </w:trPr>
        <w:tc>
          <w:tcPr>
            <w:tcW w:w="465" w:type="dxa"/>
            <w:shd w:val="clear" w:color="auto" w:fill="auto"/>
          </w:tcPr>
          <w:p w14:paraId="7F0444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622" w:type="dxa"/>
            <w:shd w:val="clear" w:color="auto" w:fill="auto"/>
          </w:tcPr>
          <w:p w14:paraId="61D2D7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имуществе и порядке ознакомления с ним</w:t>
            </w:r>
          </w:p>
        </w:tc>
        <w:tc>
          <w:tcPr>
            <w:tcW w:w="7660" w:type="dxa"/>
            <w:shd w:val="clear" w:color="auto" w:fill="auto"/>
          </w:tcPr>
          <w:tbl>
            <w:tblPr>
              <w:tblStyle w:val="3"/>
              <w:tblW w:w="749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72"/>
              <w:gridCol w:w="2904"/>
              <w:gridCol w:w="1081"/>
              <w:gridCol w:w="1448"/>
              <w:gridCol w:w="1489"/>
            </w:tblGrid>
            <w:tr w14:paraId="1AE3923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77" w:type="dxa"/>
                  <w:shd w:val="clear" w:color="auto" w:fill="auto"/>
                </w:tcPr>
                <w:p w14:paraId="70B3ADA3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№ лота</w:t>
                  </w:r>
                </w:p>
              </w:tc>
              <w:tc>
                <w:tcPr>
                  <w:tcW w:w="3008" w:type="dxa"/>
                  <w:shd w:val="clear" w:color="auto" w:fill="auto"/>
                </w:tcPr>
                <w:p w14:paraId="38194C0A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Описание, характеристика имущества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14:paraId="3D86DEFE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Количество (площадь)</w:t>
                  </w:r>
                </w:p>
              </w:tc>
              <w:tc>
                <w:tcPr>
                  <w:tcW w:w="1242" w:type="dxa"/>
                  <w:shd w:val="clear" w:color="auto" w:fill="auto"/>
                </w:tcPr>
                <w:p w14:paraId="7A259B6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Вид собственности</w:t>
                  </w:r>
                </w:p>
              </w:tc>
              <w:tc>
                <w:tcPr>
                  <w:tcW w:w="1571" w:type="dxa"/>
                  <w:shd w:val="clear" w:color="auto" w:fill="auto"/>
                </w:tcPr>
                <w:p w14:paraId="0FC886AF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Начальная цена, руб.</w:t>
                  </w:r>
                </w:p>
              </w:tc>
            </w:tr>
            <w:tr w14:paraId="444F81E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77" w:type="dxa"/>
                  <w:shd w:val="clear" w:color="auto" w:fill="auto"/>
                </w:tcPr>
                <w:p w14:paraId="276CE2A8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174013F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1.</w:t>
                  </w:r>
                </w:p>
              </w:tc>
              <w:tc>
                <w:tcPr>
                  <w:tcW w:w="3008" w:type="dxa"/>
                  <w:shd w:val="clear" w:color="auto" w:fill="auto"/>
                </w:tcPr>
                <w:p w14:paraId="104B72EE">
                  <w:pPr>
                    <w:rPr>
                      <w:sz w:val="16"/>
                      <w:szCs w:val="16"/>
                      <w:highlight w:val="yellow"/>
                      <w:lang w:eastAsia="en-US"/>
                    </w:rPr>
                  </w:pPr>
                  <w:r>
                    <w:t>Земельный участок, кадастровый номер 30:05:150301:563, площадь 500+/-5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14:paraId="3984D9C5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</w:p>
                <w:p w14:paraId="38A33515">
                  <w:pPr>
                    <w:jc w:val="center"/>
                    <w:rPr>
                      <w:sz w:val="16"/>
                      <w:szCs w:val="16"/>
                      <w:highlight w:val="yellow"/>
                      <w:vertAlign w:val="superscript"/>
                    </w:rPr>
                  </w:pPr>
                  <w:r>
                    <w:rPr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242" w:type="dxa"/>
                  <w:shd w:val="clear" w:color="auto" w:fill="auto"/>
                </w:tcPr>
                <w:p w14:paraId="68382A49">
                  <w:pPr>
                    <w:jc w:val="center"/>
                    <w:rPr>
                      <w:sz w:val="16"/>
                      <w:szCs w:val="16"/>
                      <w:highlight w:val="yellow"/>
                    </w:rPr>
                  </w:pPr>
                  <w:r>
                    <w:rPr>
                      <w:lang w:eastAsia="en-US"/>
                    </w:rPr>
                    <w:t>Индивидуальная      собственность</w:t>
                  </w:r>
                </w:p>
              </w:tc>
              <w:tc>
                <w:tcPr>
                  <w:tcW w:w="1571" w:type="dxa"/>
                  <w:shd w:val="clear" w:color="auto" w:fill="auto"/>
                </w:tcPr>
                <w:p w14:paraId="4DBB338C">
                  <w:pPr>
                    <w:jc w:val="center"/>
                    <w:rPr>
                      <w:highlight w:val="yellow"/>
                      <w:lang w:eastAsia="en-US"/>
                    </w:rPr>
                  </w:pPr>
                </w:p>
                <w:p w14:paraId="21B55375">
                  <w:pPr>
                    <w:jc w:val="center"/>
                    <w:rPr>
                      <w:highlight w:val="yellow"/>
                      <w:lang w:eastAsia="en-US"/>
                    </w:rPr>
                  </w:pPr>
                  <w:bookmarkStart w:id="0" w:name="_GoBack"/>
                  <w:r>
                    <w:rPr>
                      <w:lang w:eastAsia="en-US"/>
                    </w:rPr>
                    <w:t>800 000</w:t>
                  </w:r>
                  <w:bookmarkEnd w:id="0"/>
                </w:p>
              </w:tc>
            </w:tr>
          </w:tbl>
          <w:p w14:paraId="39383372">
            <w:pPr>
              <w:ind w:left="5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Ознакомление с имуществом производится по адресу Астраханская область, Камызянский муниципальный район, сельское поселение Образцово-Травинский сельсовет, с. Образцово-Травино,ул 2-Я Садовая, з/у 6, с момента публикации сообщения о продаже имущества и до окончания приема заявок по предварительной записи по телефону:+7 9512989377</w:t>
            </w:r>
          </w:p>
        </w:tc>
      </w:tr>
      <w:tr w14:paraId="30A0B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5C0CA63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622" w:type="dxa"/>
            <w:shd w:val="clear" w:color="auto" w:fill="auto"/>
          </w:tcPr>
          <w:p w14:paraId="6C528E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Организатор торгов</w:t>
            </w:r>
          </w:p>
        </w:tc>
        <w:tc>
          <w:tcPr>
            <w:tcW w:w="7660" w:type="dxa"/>
            <w:shd w:val="clear" w:color="auto" w:fill="auto"/>
          </w:tcPr>
          <w:p w14:paraId="361EDBBD">
            <w:pP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Финансовый управляющий Смирновой Юлии Александровны, Грязнова Светлана Борисовна, действующий на основании определния Арбитражного суда Астраханской области от 24.09.2025 по делу № А06-6649/2025</w:t>
            </w:r>
          </w:p>
          <w:p w14:paraId="58E0A29F">
            <w:pP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Организатор торгов выполняет следующие функции:</w:t>
            </w:r>
          </w:p>
          <w:p w14:paraId="3CCB9A1C">
            <w:pP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 опубликовывает и размещает сообщение о продаже имущества и сообщение о результатах проведения торгов;</w:t>
            </w:r>
          </w:p>
          <w:p w14:paraId="69E3F0AC">
            <w:pP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 определяет участников торгов;</w:t>
            </w:r>
          </w:p>
          <w:p w14:paraId="6894E1C8">
            <w:pP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 определяет победителя торгов и подписывает протокол о результатах проведения торгов;</w:t>
            </w:r>
          </w:p>
          <w:p w14:paraId="32A693B1">
            <w:pP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- уведомляет заявителей и участников торгов о результатах проведения торгов.</w:t>
            </w:r>
          </w:p>
          <w:p w14:paraId="3B7CC591">
            <w:pP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>Сведения об организаторе торгов:</w:t>
            </w:r>
          </w:p>
          <w:p w14:paraId="3CB42477">
            <w:pP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- почтовый адрес:440026, Пензенская область, г.Пенза, ул.Советская, 2, а/я 305,                                                                  </w:t>
            </w:r>
          </w:p>
          <w:p w14:paraId="65E7CC6F">
            <w:pP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  <w:t xml:space="preserve"> адрес электронной почты:</w:t>
            </w:r>
            <w:r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gryaznova</w:t>
            </w:r>
            <w:r>
              <w:rPr>
                <w:color w:val="000000" w:themeColor="text1"/>
                <w:sz w:val="16"/>
                <w:szCs w:val="16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torgi</w:t>
            </w:r>
            <w:r>
              <w:rPr>
                <w:color w:val="000000" w:themeColor="text1"/>
                <w:sz w:val="16"/>
                <w:szCs w:val="16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@</w:t>
            </w:r>
            <w:r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mail</w:t>
            </w:r>
            <w:r>
              <w:rPr>
                <w:color w:val="000000" w:themeColor="text1"/>
                <w:sz w:val="16"/>
                <w:szCs w:val="16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color w:val="000000" w:themeColor="text1"/>
                <w:sz w:val="16"/>
                <w:szCs w:val="16"/>
                <w:shd w:val="clear" w:color="auto" w:fill="FFFFFF"/>
                <w:lang w:val="en-US"/>
                <w14:textFill>
                  <w14:solidFill>
                    <w14:schemeClr w14:val="tx1"/>
                  </w14:solidFill>
                </w14:textFill>
              </w:rPr>
              <w:t>ru</w:t>
            </w:r>
          </w:p>
          <w:p w14:paraId="089AAB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контактный номер:+7 9512989377</w:t>
            </w:r>
          </w:p>
        </w:tc>
      </w:tr>
      <w:tr w14:paraId="376F8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203344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622" w:type="dxa"/>
            <w:shd w:val="clear" w:color="auto" w:fill="auto"/>
          </w:tcPr>
          <w:p w14:paraId="69CFF7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 торгов и форма представления предложений о цене имущества</w:t>
            </w:r>
          </w:p>
        </w:tc>
        <w:tc>
          <w:tcPr>
            <w:tcW w:w="7660" w:type="dxa"/>
            <w:shd w:val="clear" w:color="auto" w:fill="auto"/>
          </w:tcPr>
          <w:p w14:paraId="6A576F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14:paraId="7B9ED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4CCD2B4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622" w:type="dxa"/>
            <w:shd w:val="clear" w:color="auto" w:fill="auto"/>
          </w:tcPr>
          <w:p w14:paraId="7601D77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проведения торгов</w:t>
            </w:r>
          </w:p>
        </w:tc>
        <w:tc>
          <w:tcPr>
            <w:tcW w:w="7660" w:type="dxa"/>
            <w:shd w:val="clear" w:color="auto" w:fill="auto"/>
          </w:tcPr>
          <w:p w14:paraId="3FB41B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Торги проводятся в электронной форме на электронной площадке «Уральская», размещенной на сайте </w:t>
            </w:r>
            <w:r>
              <w:fldChar w:fldCharType="begin"/>
            </w:r>
            <w:r>
              <w:instrText xml:space="preserve"> HYPERLINK "https://etpu.ru/" </w:instrText>
            </w:r>
            <w:r>
              <w:fldChar w:fldCharType="separate"/>
            </w:r>
            <w:r>
              <w:rPr>
                <w:rStyle w:val="4"/>
              </w:rPr>
              <w:t>https://etpu.ru/</w:t>
            </w:r>
            <w:r>
              <w:rPr>
                <w:rStyle w:val="4"/>
              </w:rPr>
              <w:fldChar w:fldCharType="end"/>
            </w:r>
            <w:r>
              <w:rPr>
                <w:sz w:val="16"/>
                <w:szCs w:val="16"/>
              </w:rPr>
              <w:t>в сети Интернет.</w:t>
            </w:r>
          </w:p>
        </w:tc>
      </w:tr>
      <w:tr w14:paraId="1F72A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17FA0F7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622" w:type="dxa"/>
            <w:shd w:val="clear" w:color="auto" w:fill="auto"/>
          </w:tcPr>
          <w:p w14:paraId="6F30C5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Размер задатка</w:t>
            </w:r>
          </w:p>
        </w:tc>
        <w:tc>
          <w:tcPr>
            <w:tcW w:w="7660" w:type="dxa"/>
            <w:shd w:val="clear" w:color="auto" w:fill="auto"/>
          </w:tcPr>
          <w:p w14:paraId="3D12444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Размер задатка устанавливается в размере 10% от начальной цены лота, установленной для торгов.</w:t>
            </w:r>
          </w:p>
          <w:p w14:paraId="00D250CE">
            <w:pPr>
              <w:rPr>
                <w:sz w:val="16"/>
                <w:szCs w:val="16"/>
              </w:rPr>
            </w:pPr>
          </w:p>
        </w:tc>
      </w:tr>
      <w:tr w14:paraId="25D62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0DCC31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622" w:type="dxa"/>
            <w:shd w:val="clear" w:color="auto" w:fill="auto"/>
          </w:tcPr>
          <w:p w14:paraId="6D9723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 и порядок внесения задатка</w:t>
            </w:r>
          </w:p>
        </w:tc>
        <w:tc>
          <w:tcPr>
            <w:tcW w:w="7660" w:type="dxa"/>
            <w:shd w:val="clear" w:color="auto" w:fill="auto"/>
          </w:tcPr>
          <w:p w14:paraId="5A3E37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Срок внесения задатка - не позднее даты окончания срока приема заявок на участие в торгах. </w:t>
            </w:r>
          </w:p>
          <w:p w14:paraId="1FE817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Внесение задатка осуществляется по реквизитам, указанным сообщениях о проведении торгов, размещенных в Едином Федеральном реестре сведений о банкротстве и на сайте электронной площадки.</w:t>
            </w:r>
          </w:p>
        </w:tc>
      </w:tr>
      <w:tr w14:paraId="6016A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23D2FFA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622" w:type="dxa"/>
            <w:shd w:val="clear" w:color="auto" w:fill="auto"/>
          </w:tcPr>
          <w:p w14:paraId="70A7AD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Шаг аукциона</w:t>
            </w:r>
          </w:p>
        </w:tc>
        <w:tc>
          <w:tcPr>
            <w:tcW w:w="7660" w:type="dxa"/>
            <w:shd w:val="clear" w:color="auto" w:fill="auto"/>
          </w:tcPr>
          <w:p w14:paraId="6BBD814F">
            <w:pPr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</w:rPr>
              <w:t>Шаг аукциона устанавливается в размере 5 % от начальной цены лота, установленной для торгов.</w:t>
            </w:r>
          </w:p>
        </w:tc>
      </w:tr>
      <w:tr w14:paraId="11D02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5F76D3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622" w:type="dxa"/>
            <w:shd w:val="clear" w:color="auto" w:fill="auto"/>
          </w:tcPr>
          <w:p w14:paraId="6CABBCD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Сообщение о продаже имущества</w:t>
            </w:r>
          </w:p>
        </w:tc>
        <w:tc>
          <w:tcPr>
            <w:tcW w:w="7660" w:type="dxa"/>
            <w:shd w:val="clear" w:color="auto" w:fill="auto"/>
          </w:tcPr>
          <w:p w14:paraId="59420D1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Сообщение о проведении торгов должно быть опубликовано организатором торгов не менее чем за 30 (тридцать) дней до их проведения в Едином Федеральном реестре сведений о банкротстве, на электронной торговой площадке по адресу в сети «Интернет»: </w:t>
            </w:r>
            <w:r>
              <w:fldChar w:fldCharType="begin"/>
            </w:r>
            <w:r>
              <w:instrText xml:space="preserve"> HYPERLINK "http://www.etpu.ru" </w:instrText>
            </w:r>
            <w:r>
              <w:fldChar w:fldCharType="separate"/>
            </w:r>
            <w:r>
              <w:rPr>
                <w:rStyle w:val="4"/>
                <w:sz w:val="16"/>
                <w:szCs w:val="16"/>
              </w:rPr>
              <w:t>http://www.etpu.ru</w:t>
            </w:r>
            <w:r>
              <w:rPr>
                <w:rStyle w:val="4"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.</w:t>
            </w:r>
          </w:p>
          <w:p w14:paraId="76ED4E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Текст сообщения должен содержать следующие сведения:</w:t>
            </w:r>
          </w:p>
          <w:p w14:paraId="08DCCC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14:paraId="199453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форме проведения торгов и форме представления предложений о цене имущества;</w:t>
            </w:r>
          </w:p>
          <w:p w14:paraId="6A615F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14:paraId="34A64A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14:paraId="6A839A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14:paraId="55BD01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начальная цена продажи имущества;</w:t>
            </w:r>
          </w:p>
          <w:p w14:paraId="4EF1CA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величина повышения начальной цены продажи имущества ("шаг аукциона");</w:t>
            </w:r>
          </w:p>
          <w:p w14:paraId="2CFD0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порядок и критерии выявления победителя торгов;</w:t>
            </w:r>
          </w:p>
          <w:p w14:paraId="0261C8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дата, время и место подведения результатов торгов;</w:t>
            </w:r>
          </w:p>
          <w:p w14:paraId="7C441A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порядок и срок заключения договора купли-продажи имущества;</w:t>
            </w:r>
          </w:p>
          <w:p w14:paraId="5BB3A5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сроки платежей, реквизиты счетов, на которые вносятся платежи;</w:t>
            </w:r>
          </w:p>
          <w:p w14:paraId="15E874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14:paraId="07823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795FE65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</w:p>
        </w:tc>
        <w:tc>
          <w:tcPr>
            <w:tcW w:w="1622" w:type="dxa"/>
            <w:shd w:val="clear" w:color="auto" w:fill="auto"/>
          </w:tcPr>
          <w:p w14:paraId="6F1371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Заявка на участие в торгах</w:t>
            </w:r>
          </w:p>
        </w:tc>
        <w:tc>
          <w:tcPr>
            <w:tcW w:w="7660" w:type="dxa"/>
            <w:shd w:val="clear" w:color="auto" w:fill="auto"/>
          </w:tcPr>
          <w:p w14:paraId="57F2CE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14:paraId="18DB24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14:paraId="2A1FB1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14:paraId="1CEE29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в) номер контактного телефона, адрес электронной почты заявителя; </w:t>
            </w:r>
          </w:p>
          <w:p w14:paraId="77AFA7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14:paraId="28AD49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14:paraId="1AF44EC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14:paraId="298003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</w:p>
          <w:p w14:paraId="2F1F074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14:paraId="5466D1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течение тридцати минут с момента представления заявки на участие в торгах такая заявка с помощью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14:paraId="4D97D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2ACDE8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</w:t>
            </w:r>
          </w:p>
        </w:tc>
        <w:tc>
          <w:tcPr>
            <w:tcW w:w="1622" w:type="dxa"/>
            <w:shd w:val="clear" w:color="auto" w:fill="auto"/>
          </w:tcPr>
          <w:p w14:paraId="385AB1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 представления заявок на участие в торгах</w:t>
            </w:r>
          </w:p>
        </w:tc>
        <w:tc>
          <w:tcPr>
            <w:tcW w:w="7660" w:type="dxa"/>
            <w:shd w:val="clear" w:color="auto" w:fill="auto"/>
          </w:tcPr>
          <w:p w14:paraId="0A6130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 представления заявок на участие в открытых торгах составляет не менее 25  рабочих дней со дня опубликования и размещения сообщения о проведении торгов.</w:t>
            </w:r>
          </w:p>
        </w:tc>
      </w:tr>
      <w:tr w14:paraId="70DE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547CCE8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</w:t>
            </w:r>
          </w:p>
        </w:tc>
        <w:tc>
          <w:tcPr>
            <w:tcW w:w="1622" w:type="dxa"/>
            <w:shd w:val="clear" w:color="auto" w:fill="auto"/>
          </w:tcPr>
          <w:p w14:paraId="530C663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Определение участников торгов</w:t>
            </w:r>
          </w:p>
        </w:tc>
        <w:tc>
          <w:tcPr>
            <w:tcW w:w="7660" w:type="dxa"/>
            <w:shd w:val="clear" w:color="auto" w:fill="auto"/>
          </w:tcPr>
          <w:p w14:paraId="1DBA1CE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14:paraId="07F3AA5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14:paraId="29DB0F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</w:p>
          <w:p w14:paraId="53F8C0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14:paraId="090090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об отказе в допуске заявителя к участию в торгах принимается в случае, если:</w:t>
            </w:r>
          </w:p>
          <w:p w14:paraId="75AA168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14:paraId="193007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14:paraId="6297B3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14:paraId="6FA92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295E436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</w:t>
            </w:r>
          </w:p>
        </w:tc>
        <w:tc>
          <w:tcPr>
            <w:tcW w:w="1622" w:type="dxa"/>
            <w:shd w:val="clear" w:color="auto" w:fill="auto"/>
          </w:tcPr>
          <w:p w14:paraId="204D64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Порядок проведения торгов</w:t>
            </w:r>
          </w:p>
        </w:tc>
        <w:tc>
          <w:tcPr>
            <w:tcW w:w="7660" w:type="dxa"/>
            <w:shd w:val="clear" w:color="auto" w:fill="auto"/>
          </w:tcPr>
          <w:p w14:paraId="541DC2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14:paraId="14BDA8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14:paraId="4AE360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14:paraId="0FFB8C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14:paraId="403A0E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Если в течение тридцати минут после представления последнего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14:paraId="0E5663A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 время проведения торгов с помощью программно-аппаратных средств сайта предложение о цене в момент его поступления отклоняется с направлением лицу уведомления об отказе в приеме его предложения с указанием причин отказа в случае, если:</w:t>
            </w:r>
          </w:p>
          <w:p w14:paraId="233ACD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14:paraId="21DEDF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14:paraId="7E3E0B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14:paraId="2D494A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14:paraId="0EC19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465DCA7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</w:t>
            </w:r>
          </w:p>
        </w:tc>
        <w:tc>
          <w:tcPr>
            <w:tcW w:w="1622" w:type="dxa"/>
            <w:shd w:val="clear" w:color="auto" w:fill="auto"/>
          </w:tcPr>
          <w:p w14:paraId="172C58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Подведение результатов торгов</w:t>
            </w:r>
          </w:p>
        </w:tc>
        <w:tc>
          <w:tcPr>
            <w:tcW w:w="7660" w:type="dxa"/>
            <w:shd w:val="clear" w:color="auto" w:fill="auto"/>
          </w:tcPr>
          <w:p w14:paraId="1B49EF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14:paraId="7E840B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14:paraId="2AB6AD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14:paraId="3D248F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E9601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14:paraId="1BB8D6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</w:p>
          <w:p w14:paraId="1D06BF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окончания срока представления заявок на участие в торгах при отсутствии заявок на участие в торгах;</w:t>
            </w:r>
          </w:p>
          <w:p w14:paraId="26E7E2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14:paraId="28F847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</w:p>
          <w:p w14:paraId="57CAB2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Решение о признании торгов несостоявшимися размещается оператором электронной площадки на электронной площадке.</w:t>
            </w:r>
          </w:p>
          <w:p w14:paraId="161ED3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14:paraId="37994A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14:paraId="2B289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341ECBE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.</w:t>
            </w:r>
          </w:p>
        </w:tc>
        <w:tc>
          <w:tcPr>
            <w:tcW w:w="1622" w:type="dxa"/>
            <w:shd w:val="clear" w:color="auto" w:fill="auto"/>
          </w:tcPr>
          <w:p w14:paraId="1C808A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Порядок и срок заключения договора купли-продажи имущества</w:t>
            </w:r>
          </w:p>
        </w:tc>
        <w:tc>
          <w:tcPr>
            <w:tcW w:w="7660" w:type="dxa"/>
            <w:shd w:val="clear" w:color="auto" w:fill="auto"/>
          </w:tcPr>
          <w:p w14:paraId="0A428BF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течение пяти дней с даты утверждения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14:paraId="36012A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</w:p>
          <w:p w14:paraId="65DB5A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</w:p>
        </w:tc>
      </w:tr>
      <w:tr w14:paraId="3D3C9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4F1A39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</w:t>
            </w:r>
          </w:p>
        </w:tc>
        <w:tc>
          <w:tcPr>
            <w:tcW w:w="1622" w:type="dxa"/>
            <w:shd w:val="clear" w:color="auto" w:fill="auto"/>
          </w:tcPr>
          <w:p w14:paraId="3C0C5D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Условия возврата задатка</w:t>
            </w:r>
          </w:p>
        </w:tc>
        <w:tc>
          <w:tcPr>
            <w:tcW w:w="7660" w:type="dxa"/>
            <w:shd w:val="clear" w:color="auto" w:fill="auto"/>
          </w:tcPr>
          <w:p w14:paraId="416AE7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14:paraId="3C94C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593AC68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</w:t>
            </w:r>
          </w:p>
        </w:tc>
        <w:tc>
          <w:tcPr>
            <w:tcW w:w="1622" w:type="dxa"/>
            <w:shd w:val="clear" w:color="auto" w:fill="auto"/>
          </w:tcPr>
          <w:p w14:paraId="3EDF31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Условия оплаты имущества</w:t>
            </w:r>
          </w:p>
        </w:tc>
        <w:tc>
          <w:tcPr>
            <w:tcW w:w="7660" w:type="dxa"/>
            <w:shd w:val="clear" w:color="auto" w:fill="auto"/>
          </w:tcPr>
          <w:p w14:paraId="1371B9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реквизитам, указанным в сообщении о проведении торгов.</w:t>
            </w:r>
          </w:p>
          <w:p w14:paraId="0CEEB4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14:paraId="23C58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32B7589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</w:t>
            </w:r>
          </w:p>
        </w:tc>
        <w:tc>
          <w:tcPr>
            <w:tcW w:w="1622" w:type="dxa"/>
            <w:shd w:val="clear" w:color="auto" w:fill="auto"/>
          </w:tcPr>
          <w:p w14:paraId="3ECF5F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Оформление договора купли-продажи имущества</w:t>
            </w:r>
          </w:p>
        </w:tc>
        <w:tc>
          <w:tcPr>
            <w:tcW w:w="7660" w:type="dxa"/>
            <w:shd w:val="clear" w:color="auto" w:fill="auto"/>
          </w:tcPr>
          <w:p w14:paraId="34888F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Обязательными условиями договора купли-продажи имущества являются:</w:t>
            </w:r>
          </w:p>
          <w:p w14:paraId="760647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об имуществе, его составе, характеристиках, описание имущества;</w:t>
            </w:r>
          </w:p>
          <w:p w14:paraId="69EBE9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 продажи имущества;</w:t>
            </w:r>
          </w:p>
          <w:p w14:paraId="1A6657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порядок и срок передачи имущества покупателю;</w:t>
            </w:r>
          </w:p>
          <w:p w14:paraId="6335F6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сведения о наличии или об отсутствии обременении в отношении имущества, в том числе публичного сервитута;</w:t>
            </w:r>
          </w:p>
          <w:p w14:paraId="282E17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иные предусмотренные законодательством Российской Федерации условия.</w:t>
            </w:r>
          </w:p>
          <w:p w14:paraId="0B3C4F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4"/>
                <w:color w:val="auto"/>
                <w:sz w:val="16"/>
                <w:szCs w:val="16"/>
                <w:u w:val="none"/>
              </w:rPr>
              <w:t>законодательством</w:t>
            </w:r>
            <w:r>
              <w:rPr>
                <w:rStyle w:val="4"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sz w:val="16"/>
                <w:szCs w:val="16"/>
              </w:rPr>
              <w:t xml:space="preserve"> Российской Федерации.</w:t>
            </w:r>
          </w:p>
        </w:tc>
      </w:tr>
      <w:tr w14:paraId="05F98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6C64F0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18.</w:t>
            </w:r>
          </w:p>
        </w:tc>
        <w:tc>
          <w:tcPr>
            <w:tcW w:w="1622" w:type="dxa"/>
            <w:shd w:val="clear" w:color="auto" w:fill="auto"/>
          </w:tcPr>
          <w:p w14:paraId="7774C58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повторных торгов</w:t>
            </w:r>
          </w:p>
        </w:tc>
        <w:tc>
          <w:tcPr>
            <w:tcW w:w="7660" w:type="dxa"/>
            <w:shd w:val="clear" w:color="auto" w:fill="auto"/>
          </w:tcPr>
          <w:p w14:paraId="55CB76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</w:p>
          <w:p w14:paraId="799E78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Повторные торги проводятся в соответствии с условиями проведения первоначальных торгов.</w:t>
            </w:r>
          </w:p>
          <w:p w14:paraId="4F6F90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14:paraId="0DF51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5" w:type="dxa"/>
            <w:shd w:val="clear" w:color="auto" w:fill="auto"/>
          </w:tcPr>
          <w:p w14:paraId="50FB29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</w:t>
            </w:r>
          </w:p>
        </w:tc>
        <w:tc>
          <w:tcPr>
            <w:tcW w:w="1622" w:type="dxa"/>
            <w:shd w:val="clear" w:color="auto" w:fill="auto"/>
          </w:tcPr>
          <w:p w14:paraId="4E8383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Продажа имущества посредством публичного предложения</w:t>
            </w:r>
          </w:p>
        </w:tc>
        <w:tc>
          <w:tcPr>
            <w:tcW w:w="7660" w:type="dxa"/>
            <w:shd w:val="clear" w:color="auto" w:fill="auto"/>
          </w:tcPr>
          <w:p w14:paraId="265B4D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случае,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14:paraId="17ABDE8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</w:p>
          <w:p w14:paraId="3785E4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 Минимальная цена продажи 50% начальной стоимости, установленной для торгов посредством публичного предложения</w:t>
            </w:r>
          </w:p>
          <w:p w14:paraId="2698E03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Величина снижения начальной цены продажи имущества должника – «шаг снижения»  - устанавливается равным 10 % начальной цены, установленной для торгов посредством публичного предложения.</w:t>
            </w:r>
          </w:p>
          <w:p w14:paraId="51DEAE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Срок, по истечении которого последовательно снижается 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14:paraId="66CB873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Сообщение о продаже имущества посредством публичного предложения включается в Единый федеральный реестр сведений о банкротстве не позднее, чемза 2 дня до даты начала приема заявок на участие в торгах. В сообщении о продаже наряду со сведениями, указанными в пункте 8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14:paraId="290E8D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14:paraId="2E56C5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</w:p>
          <w:p w14:paraId="51EB8DA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14:paraId="54A6959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14:paraId="15C58B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Определение участников торгов, проводимых в форме публичного предложения осуществляется в следующем порядке:</w:t>
            </w:r>
          </w:p>
          <w:p w14:paraId="568E88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</w:p>
          <w:p w14:paraId="35261A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14:paraId="11E39A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окончания периода проведения торгов.</w:t>
            </w:r>
          </w:p>
          <w:p w14:paraId="63B9D7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</w:t>
            </w:r>
          </w:p>
          <w:p w14:paraId="6B8A25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окончания периода проведения торгов.</w:t>
            </w:r>
          </w:p>
          <w:p w14:paraId="2DD5FB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</w:p>
          <w:p w14:paraId="052700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получения от организатора торгов (по окончании любого периода проведения торгов) протокола об определении участников торгов, согласно которому к участию в торгах допущен хотя бы один участник;</w:t>
            </w:r>
          </w:p>
          <w:p w14:paraId="4446AC6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получения от организатора торгов (по окончании последнего периода проведения торгов)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14:paraId="6651E9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окончания последнего периода проведения торгов при отсутствии заявок на участие в торгах.</w:t>
            </w:r>
          </w:p>
          <w:p w14:paraId="6F710E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14:paraId="5F47817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Протокол о результатах проведения торгов или решение о признании торгов несостоявшимися размещаются оператором электронной площадки на электронной площадке.</w:t>
            </w:r>
          </w:p>
          <w:p w14:paraId="553FDC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14:paraId="0F38364E">
      <w:pPr>
        <w:rPr>
          <w:sz w:val="16"/>
          <w:szCs w:val="16"/>
        </w:rPr>
      </w:pPr>
    </w:p>
    <w:p w14:paraId="7A8815F7">
      <w:pPr>
        <w:ind w:left="-567"/>
        <w:jc w:val="both"/>
        <w:rPr>
          <w:sz w:val="16"/>
          <w:szCs w:val="16"/>
        </w:rPr>
      </w:pPr>
      <w:r>
        <w:rPr>
          <w:sz w:val="16"/>
          <w:szCs w:val="16"/>
        </w:rP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№495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№178 и признании утратившими силу некоторых приказов Минэкономразвития России».</w:t>
      </w:r>
    </w:p>
    <w:p w14:paraId="51BF9772">
      <w:pPr>
        <w:ind w:left="-567"/>
        <w:jc w:val="both"/>
        <w:rPr>
          <w:sz w:val="16"/>
          <w:szCs w:val="16"/>
        </w:rPr>
      </w:pPr>
    </w:p>
    <w:p w14:paraId="3E21CDDA">
      <w:pPr>
        <w:pStyle w:val="8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14:paraId="2735FC27">
      <w:pPr>
        <w:pStyle w:val="8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p w14:paraId="5D1720B6">
      <w:pPr>
        <w:pStyle w:val="8"/>
        <w:widowControl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3"/>
        <w:tblW w:w="5076" w:type="pct"/>
        <w:tblCellSpacing w:w="0" w:type="dxa"/>
        <w:tblInd w:w="-142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88"/>
        <w:gridCol w:w="61"/>
        <w:gridCol w:w="4648"/>
      </w:tblGrid>
      <w:tr w14:paraId="3F867A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2521" w:type="pct"/>
          </w:tcPr>
          <w:p w14:paraId="31E2EB14">
            <w:pPr>
              <w:rPr>
                <w:b/>
                <w:sz w:val="16"/>
                <w:szCs w:val="16"/>
              </w:rPr>
            </w:pPr>
          </w:p>
          <w:p w14:paraId="696131A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Финансовый управляющий</w:t>
            </w:r>
            <w:r>
              <w:rPr>
                <w:b/>
                <w:sz w:val="16"/>
                <w:szCs w:val="16"/>
              </w:rPr>
              <w:br w:type="textWrapping"/>
            </w:r>
            <w:r>
              <w:rPr>
                <w:b/>
                <w:sz w:val="16"/>
                <w:szCs w:val="16"/>
              </w:rPr>
              <w:t>Смирновой Юлии Александровны</w:t>
            </w:r>
          </w:p>
        </w:tc>
        <w:tc>
          <w:tcPr>
            <w:tcW w:w="0" w:type="auto"/>
            <w:vAlign w:val="center"/>
          </w:tcPr>
          <w:p w14:paraId="50BB009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2447" w:type="pct"/>
          </w:tcPr>
          <w:p w14:paraId="3112F67A">
            <w:pPr>
              <w:pStyle w:val="5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С.Б. Грязнова</w:t>
            </w:r>
          </w:p>
        </w:tc>
      </w:tr>
    </w:tbl>
    <w:p w14:paraId="251DA002">
      <w:pPr>
        <w:jc w:val="both"/>
        <w:rPr>
          <w:b/>
          <w:sz w:val="16"/>
          <w:szCs w:val="16"/>
        </w:rPr>
      </w:pPr>
    </w:p>
    <w:p w14:paraId="7C90400B">
      <w:pPr>
        <w:rPr>
          <w:sz w:val="16"/>
          <w:szCs w:val="16"/>
        </w:rPr>
      </w:pPr>
    </w:p>
    <w:sectPr>
      <w:pgSz w:w="11906" w:h="16838"/>
      <w:pgMar w:top="709" w:right="850" w:bottom="56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730"/>
    <w:rsid w:val="00050C74"/>
    <w:rsid w:val="00050F53"/>
    <w:rsid w:val="000702A5"/>
    <w:rsid w:val="00072167"/>
    <w:rsid w:val="0007403E"/>
    <w:rsid w:val="0007450F"/>
    <w:rsid w:val="00081981"/>
    <w:rsid w:val="000A008A"/>
    <w:rsid w:val="000E304D"/>
    <w:rsid w:val="000F3562"/>
    <w:rsid w:val="00106842"/>
    <w:rsid w:val="00106D81"/>
    <w:rsid w:val="0012025F"/>
    <w:rsid w:val="001448D6"/>
    <w:rsid w:val="00145E45"/>
    <w:rsid w:val="00176741"/>
    <w:rsid w:val="00180FAC"/>
    <w:rsid w:val="001A370A"/>
    <w:rsid w:val="001A7F93"/>
    <w:rsid w:val="001E701C"/>
    <w:rsid w:val="001F2D11"/>
    <w:rsid w:val="00226813"/>
    <w:rsid w:val="0023545D"/>
    <w:rsid w:val="002434E7"/>
    <w:rsid w:val="00255960"/>
    <w:rsid w:val="00280A2A"/>
    <w:rsid w:val="00293FF5"/>
    <w:rsid w:val="002B2D71"/>
    <w:rsid w:val="002C21E3"/>
    <w:rsid w:val="002C4EEF"/>
    <w:rsid w:val="002F59A9"/>
    <w:rsid w:val="003A0686"/>
    <w:rsid w:val="003A1699"/>
    <w:rsid w:val="003A43A4"/>
    <w:rsid w:val="003B54E4"/>
    <w:rsid w:val="003C4720"/>
    <w:rsid w:val="003E1B31"/>
    <w:rsid w:val="003E206F"/>
    <w:rsid w:val="003F54CB"/>
    <w:rsid w:val="00400EA9"/>
    <w:rsid w:val="00417EEB"/>
    <w:rsid w:val="00433D6C"/>
    <w:rsid w:val="0046686D"/>
    <w:rsid w:val="00474607"/>
    <w:rsid w:val="004769F2"/>
    <w:rsid w:val="00486910"/>
    <w:rsid w:val="0049059C"/>
    <w:rsid w:val="0049175B"/>
    <w:rsid w:val="004924B0"/>
    <w:rsid w:val="00492E43"/>
    <w:rsid w:val="004C613E"/>
    <w:rsid w:val="004E368A"/>
    <w:rsid w:val="004E3726"/>
    <w:rsid w:val="004F12DC"/>
    <w:rsid w:val="005511FC"/>
    <w:rsid w:val="0055356A"/>
    <w:rsid w:val="005628D6"/>
    <w:rsid w:val="0057643B"/>
    <w:rsid w:val="00592B96"/>
    <w:rsid w:val="00596909"/>
    <w:rsid w:val="005D7648"/>
    <w:rsid w:val="00614239"/>
    <w:rsid w:val="0061591D"/>
    <w:rsid w:val="00623D65"/>
    <w:rsid w:val="006246F3"/>
    <w:rsid w:val="00633086"/>
    <w:rsid w:val="00667293"/>
    <w:rsid w:val="00695B40"/>
    <w:rsid w:val="006B6D69"/>
    <w:rsid w:val="006C0BDC"/>
    <w:rsid w:val="006C5FDE"/>
    <w:rsid w:val="006D7611"/>
    <w:rsid w:val="006D7840"/>
    <w:rsid w:val="0072132F"/>
    <w:rsid w:val="00747B79"/>
    <w:rsid w:val="007B6A3A"/>
    <w:rsid w:val="007D6DAA"/>
    <w:rsid w:val="007E5925"/>
    <w:rsid w:val="00803423"/>
    <w:rsid w:val="00803A5A"/>
    <w:rsid w:val="00816D2A"/>
    <w:rsid w:val="00831784"/>
    <w:rsid w:val="00837DE6"/>
    <w:rsid w:val="00876516"/>
    <w:rsid w:val="00885873"/>
    <w:rsid w:val="008A22CB"/>
    <w:rsid w:val="008A4210"/>
    <w:rsid w:val="008A7695"/>
    <w:rsid w:val="008B26A7"/>
    <w:rsid w:val="008C3FF4"/>
    <w:rsid w:val="008C49EB"/>
    <w:rsid w:val="008E5E40"/>
    <w:rsid w:val="008E7B77"/>
    <w:rsid w:val="009041A9"/>
    <w:rsid w:val="00913855"/>
    <w:rsid w:val="009174A2"/>
    <w:rsid w:val="009365F9"/>
    <w:rsid w:val="00952889"/>
    <w:rsid w:val="00953801"/>
    <w:rsid w:val="009540E7"/>
    <w:rsid w:val="009606DA"/>
    <w:rsid w:val="009A4BAE"/>
    <w:rsid w:val="009C1697"/>
    <w:rsid w:val="009F402A"/>
    <w:rsid w:val="00A03C11"/>
    <w:rsid w:val="00A235AB"/>
    <w:rsid w:val="00A32BBC"/>
    <w:rsid w:val="00A4598D"/>
    <w:rsid w:val="00A51482"/>
    <w:rsid w:val="00A67516"/>
    <w:rsid w:val="00A67AA5"/>
    <w:rsid w:val="00A71940"/>
    <w:rsid w:val="00A76951"/>
    <w:rsid w:val="00A84D52"/>
    <w:rsid w:val="00AA375C"/>
    <w:rsid w:val="00AA677A"/>
    <w:rsid w:val="00AB5424"/>
    <w:rsid w:val="00AC41B9"/>
    <w:rsid w:val="00AC4AF1"/>
    <w:rsid w:val="00B0175A"/>
    <w:rsid w:val="00B20496"/>
    <w:rsid w:val="00B56730"/>
    <w:rsid w:val="00B7167D"/>
    <w:rsid w:val="00B7314C"/>
    <w:rsid w:val="00B73E04"/>
    <w:rsid w:val="00B82CAC"/>
    <w:rsid w:val="00BB734F"/>
    <w:rsid w:val="00BC64CD"/>
    <w:rsid w:val="00BF204E"/>
    <w:rsid w:val="00BF72A4"/>
    <w:rsid w:val="00C03880"/>
    <w:rsid w:val="00C14BDE"/>
    <w:rsid w:val="00C23FDD"/>
    <w:rsid w:val="00C279C7"/>
    <w:rsid w:val="00C521B6"/>
    <w:rsid w:val="00C61934"/>
    <w:rsid w:val="00C653A0"/>
    <w:rsid w:val="00C7365B"/>
    <w:rsid w:val="00C75457"/>
    <w:rsid w:val="00CA2A56"/>
    <w:rsid w:val="00CA6D2D"/>
    <w:rsid w:val="00CB39E7"/>
    <w:rsid w:val="00CB636A"/>
    <w:rsid w:val="00CC1255"/>
    <w:rsid w:val="00CC5712"/>
    <w:rsid w:val="00CE2324"/>
    <w:rsid w:val="00CE4B37"/>
    <w:rsid w:val="00CF21BC"/>
    <w:rsid w:val="00CF68DD"/>
    <w:rsid w:val="00D163D0"/>
    <w:rsid w:val="00D35AB0"/>
    <w:rsid w:val="00D36A89"/>
    <w:rsid w:val="00D41655"/>
    <w:rsid w:val="00D554D6"/>
    <w:rsid w:val="00D5567E"/>
    <w:rsid w:val="00D610C6"/>
    <w:rsid w:val="00D705FA"/>
    <w:rsid w:val="00D85C24"/>
    <w:rsid w:val="00DA41EC"/>
    <w:rsid w:val="00DA68E6"/>
    <w:rsid w:val="00DC5E19"/>
    <w:rsid w:val="00DD1C3B"/>
    <w:rsid w:val="00DD54EF"/>
    <w:rsid w:val="00DD6BD8"/>
    <w:rsid w:val="00DE1E55"/>
    <w:rsid w:val="00E041D7"/>
    <w:rsid w:val="00E14F00"/>
    <w:rsid w:val="00E60EB0"/>
    <w:rsid w:val="00E96D28"/>
    <w:rsid w:val="00EA1782"/>
    <w:rsid w:val="00EA6C36"/>
    <w:rsid w:val="00EB49A8"/>
    <w:rsid w:val="00EC3C5D"/>
    <w:rsid w:val="00ED5BC1"/>
    <w:rsid w:val="00EF5ECA"/>
    <w:rsid w:val="00F1029F"/>
    <w:rsid w:val="00F31CA1"/>
    <w:rsid w:val="00F628C0"/>
    <w:rsid w:val="00F62C15"/>
    <w:rsid w:val="00F668D2"/>
    <w:rsid w:val="00F726AC"/>
    <w:rsid w:val="00FB2B2F"/>
    <w:rsid w:val="00FD49D0"/>
    <w:rsid w:val="4A8E4FD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000FF"/>
      <w:u w:val="single"/>
    </w:rPr>
  </w:style>
  <w:style w:type="paragraph" w:styleId="5">
    <w:name w:val="Normal (Web)"/>
    <w:basedOn w:val="1"/>
    <w:qFormat/>
    <w:uiPriority w:val="0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table" w:styleId="6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Обычный1"/>
    <w:qFormat/>
    <w:uiPriority w:val="0"/>
    <w:rPr>
      <w:rFonts w:ascii="Times New Roman" w:hAnsi="Times New Roman" w:eastAsia="Times New Roman" w:cs="Times New Roman"/>
      <w:lang w:val="ru-RU" w:eastAsia="ru-RU" w:bidi="ar-SA"/>
    </w:rPr>
  </w:style>
  <w:style w:type="paragraph" w:customStyle="1" w:styleId="8">
    <w:name w:val="ConsPlu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styleId="9">
    <w:name w:val="No Spacing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lang w:val="ru-RU" w:eastAsia="ru-RU" w:bidi="ar-SA"/>
    </w:rPr>
  </w:style>
  <w:style w:type="character" w:customStyle="1" w:styleId="10">
    <w:name w:val="Неразрешенное упоминание1"/>
    <w:basedOn w:val="2"/>
    <w:semiHidden/>
    <w:unhideWhenUsed/>
    <w:uiPriority w:val="99"/>
    <w:rPr>
      <w:color w:val="605E5C"/>
      <w:shd w:val="clear" w:color="auto" w:fill="E1DFDD"/>
    </w:rPr>
  </w:style>
  <w:style w:type="character" w:customStyle="1" w:styleId="11">
    <w:name w:val="fontstyle01"/>
    <w:basedOn w:val="2"/>
    <w:uiPriority w:val="0"/>
    <w:rPr>
      <w:rFonts w:hint="default" w:ascii="Times New Roman" w:hAnsi="Times New Roman" w:cs="Times New Roman"/>
      <w:color w:val="000000"/>
      <w:sz w:val="24"/>
      <w:szCs w:val="24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2995</Words>
  <Characters>20874</Characters>
  <Lines>171</Lines>
  <Paragraphs>48</Paragraphs>
  <TotalTime>65</TotalTime>
  <ScaleCrop>false</ScaleCrop>
  <LinksUpToDate>false</LinksUpToDate>
  <CharactersWithSpaces>23788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2024-05-31T09:21:00Z</dcterms:created>
  <dc:creator>HP</dc:creator>
  <cp:lastModifiedBy>user</cp:lastModifiedBy>
  <cp:lastPrinted>2019-09-27T11:58:00Z</cp:lastPrinted>
  <dcterms:modified xsi:type="dcterms:W3CDTF">2026-06-05T08:39:20Z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eyJoZGlkIjoiOTBjNzE1MWY5NDliOTk3MzU2YTUzMzNhNzAwM2FkN2EifQ==</vt:lpwstr>
  </property>
  <property fmtid="{D5CDD505-2E9C-101B-9397-08002B2CF9AE}" pid="3" name="KSOProductBuildVer">
    <vt:lpwstr>1049-12.1.0.26372</vt:lpwstr>
  </property>
  <property fmtid="{D5CDD505-2E9C-101B-9397-08002B2CF9AE}" pid="4" name="ICV">
    <vt:lpwstr>647FD2086F6F4EA3B2983B287F680699_12</vt:lpwstr>
  </property>
</Properties>
</file>