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95B05">
      <w:pPr>
        <w:jc w:val="center"/>
        <w:rPr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Договор о задатке №___</w:t>
      </w:r>
    </w:p>
    <w:p w:rsidR="00000000" w:rsidRDefault="00495B05">
      <w:pPr>
        <w:rPr>
          <w:sz w:val="22"/>
          <w:szCs w:val="22"/>
        </w:rPr>
      </w:pPr>
    </w:p>
    <w:p w:rsidR="00000000" w:rsidRDefault="00495B05">
      <w:pPr>
        <w:ind w:firstLine="0"/>
        <w:rPr>
          <w:sz w:val="22"/>
          <w:szCs w:val="22"/>
        </w:rPr>
      </w:pPr>
      <w:r>
        <w:rPr>
          <w:sz w:val="22"/>
          <w:szCs w:val="22"/>
        </w:rPr>
        <w:t>г. Пенза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>
        <w:rPr>
          <w:sz w:val="22"/>
          <w:szCs w:val="22"/>
        </w:rPr>
        <w:t xml:space="preserve">                                                                              «____»____________ 202_г.</w:t>
      </w:r>
    </w:p>
    <w:p w:rsidR="00000000" w:rsidRDefault="00495B05">
      <w:pPr>
        <w:rPr>
          <w:sz w:val="22"/>
          <w:szCs w:val="22"/>
        </w:rPr>
      </w:pPr>
    </w:p>
    <w:p w:rsidR="00000000" w:rsidRDefault="00495B05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Буренчева Александра Игоревича (ИНН 583712174487; почтовый адрес: 440046, г. Пенза, ул. Мира, д. 44, кв. 7; </w:t>
      </w:r>
      <w:r>
        <w:rPr>
          <w:sz w:val="22"/>
          <w:szCs w:val="22"/>
        </w:rPr>
        <w:t>регистрационный номер в сводном реестре арбитражных управляющих 19492), член Саморегулируемой межрегиональной общественной организации «Ассоциация антикризисных управляющих», именуемый в дальнейшем «Организатор торгов», действующий</w:t>
      </w:r>
      <w:r>
        <w:rPr>
          <w:color w:val="000000"/>
          <w:sz w:val="22"/>
          <w:szCs w:val="22"/>
        </w:rPr>
        <w:t xml:space="preserve"> на основании решения Арб</w:t>
      </w:r>
      <w:r>
        <w:rPr>
          <w:color w:val="000000"/>
          <w:sz w:val="22"/>
          <w:szCs w:val="22"/>
        </w:rPr>
        <w:t xml:space="preserve">итражного суда Пензенской области </w:t>
      </w:r>
      <w:r>
        <w:rPr>
          <w:sz w:val="22"/>
          <w:szCs w:val="22"/>
        </w:rPr>
        <w:t xml:space="preserve">от 13 ноября 2024 года по делу№ А49-7501/2024, с одной стороны, </w:t>
      </w:r>
    </w:p>
    <w:p w:rsidR="00000000" w:rsidRDefault="00495B05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r>
        <w:rPr>
          <w:b/>
          <w:bCs/>
          <w:sz w:val="22"/>
          <w:szCs w:val="22"/>
        </w:rPr>
        <w:t>__________________________________________________________________________________</w:t>
      </w:r>
      <w:r>
        <w:rPr>
          <w:sz w:val="22"/>
          <w:szCs w:val="22"/>
        </w:rPr>
        <w:t>,  именуемый в дальнейшем «Заявитель», __________________________________</w:t>
      </w:r>
      <w:r>
        <w:rPr>
          <w:sz w:val="22"/>
          <w:szCs w:val="22"/>
        </w:rPr>
        <w:t>______________________</w:t>
      </w:r>
    </w:p>
    <w:p w:rsidR="00000000" w:rsidRDefault="00495B05">
      <w:pPr>
        <w:ind w:firstLine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с другой стороны, заключили настоящий Договор </w:t>
      </w:r>
      <w:r>
        <w:rPr>
          <w:sz w:val="22"/>
          <w:szCs w:val="22"/>
        </w:rPr>
        <w:t>о нижеследующем:</w:t>
      </w:r>
    </w:p>
    <w:p w:rsidR="00000000" w:rsidRDefault="00495B05">
      <w:pPr>
        <w:rPr>
          <w:sz w:val="22"/>
          <w:szCs w:val="22"/>
        </w:rPr>
      </w:pPr>
    </w:p>
    <w:p w:rsidR="00000000" w:rsidRDefault="00495B05">
      <w:pPr>
        <w:widowControl/>
        <w:numPr>
          <w:ilvl w:val="0"/>
          <w:numId w:val="3"/>
        </w:numPr>
        <w:tabs>
          <w:tab w:val="left" w:pos="1069"/>
          <w:tab w:val="left" w:pos="1778"/>
          <w:tab w:val="left" w:pos="2487"/>
          <w:tab w:val="left" w:pos="3196"/>
          <w:tab w:val="left" w:pos="3905"/>
          <w:tab w:val="left" w:pos="4614"/>
          <w:tab w:val="left" w:pos="5323"/>
          <w:tab w:val="left" w:pos="6032"/>
          <w:tab w:val="left" w:pos="6741"/>
          <w:tab w:val="left" w:pos="7450"/>
          <w:tab w:val="left" w:pos="8159"/>
          <w:tab w:val="left" w:pos="8868"/>
          <w:tab w:val="left" w:pos="9577"/>
          <w:tab w:val="left" w:pos="10286"/>
          <w:tab w:val="left" w:pos="10995"/>
          <w:tab w:val="left" w:pos="11704"/>
          <w:tab w:val="left" w:pos="12413"/>
          <w:tab w:val="left" w:pos="13122"/>
          <w:tab w:val="left" w:pos="13831"/>
          <w:tab w:val="left" w:pos="14540"/>
        </w:tabs>
        <w:ind w:left="1069" w:firstLine="720"/>
        <w:jc w:val="center"/>
        <w:rPr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:rsidR="00000000" w:rsidRDefault="00495B05">
      <w:pPr>
        <w:rPr>
          <w:sz w:val="22"/>
          <w:szCs w:val="22"/>
        </w:rPr>
      </w:pPr>
      <w:r>
        <w:rPr>
          <w:sz w:val="22"/>
          <w:szCs w:val="22"/>
        </w:rPr>
        <w:t>1.1. В соответствии с условиями настоящего договора для участия в торгах по продаже имущества Козочкина Михаила Геннадиевича (Геннадьевича) (15.05.1975 г.р., место рождения: с. Сулак Белинский р-н Пензенская обл., место р</w:t>
      </w:r>
      <w:r>
        <w:rPr>
          <w:sz w:val="22"/>
          <w:szCs w:val="22"/>
        </w:rPr>
        <w:t xml:space="preserve">егистрации: Пензенская обл., г. Пенза, ул. Терновского, д. 148, кв. 78; ИНН 583513678546, СНИЛС 110-431-287 89) в соответствии с опубликованным извещением о проведении торгов в ЕФРСБ  от ______________ г., публикация № __________________ </w:t>
      </w:r>
      <w:r>
        <w:rPr>
          <w:bCs/>
          <w:sz w:val="22"/>
          <w:szCs w:val="22"/>
        </w:rPr>
        <w:t>по Лоту №</w:t>
      </w:r>
      <w:r>
        <w:rPr>
          <w:sz w:val="22"/>
          <w:szCs w:val="22"/>
        </w:rPr>
        <w:t xml:space="preserve"> 1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(Право</w:t>
      </w:r>
      <w:r>
        <w:rPr>
          <w:sz w:val="22"/>
          <w:szCs w:val="22"/>
        </w:rPr>
        <w:t xml:space="preserve"> требования к </w:t>
      </w:r>
      <w:r>
        <w:rPr>
          <w:rFonts w:ascii="Times New Roman" w:hAnsi="Times New Roman" w:cs="Times New Roman"/>
          <w:sz w:val="22"/>
          <w:szCs w:val="22"/>
        </w:rPr>
        <w:t>Болоцкому Максиму Игоревичу об обязании вернуть транспортное средство марки VOLKSWAGEN POLO; идентификационный номер (VIN): XW8ZZZ61ZGG041405; год выпуска: 2016; № двигателя: CWV 062930; № шасси (рамы): отсутствует; № кузова: XW8ZZZ61ZGG04140</w:t>
      </w:r>
      <w:r>
        <w:rPr>
          <w:rFonts w:ascii="Times New Roman" w:hAnsi="Times New Roman" w:cs="Times New Roman"/>
          <w:sz w:val="22"/>
          <w:szCs w:val="22"/>
        </w:rPr>
        <w:t>5; цвет: белый, полученное в рамках определения Арбитражного суда Пензенской области от 03.09.2025 (дата вынесения мотивированного определения) по делу №А49-7501/2024, оставленного в силе постановлением Одиннадцатого арбитражного апелляционного суда по дел</w:t>
      </w:r>
      <w:r>
        <w:rPr>
          <w:rFonts w:ascii="Times New Roman" w:hAnsi="Times New Roman" w:cs="Times New Roman"/>
          <w:sz w:val="22"/>
          <w:szCs w:val="22"/>
        </w:rPr>
        <w:t xml:space="preserve">у №А49-7501/2024 от 02.04.2026 года, </w:t>
      </w:r>
      <w:r>
        <w:rPr>
          <w:sz w:val="22"/>
          <w:szCs w:val="22"/>
        </w:rPr>
        <w:t xml:space="preserve">далее – «Имущество»), проводимых по средствам публичного предложения, Заявитель перечисляет денежные средства в размере </w:t>
      </w:r>
      <w:r>
        <w:rPr>
          <w:rFonts w:ascii="Times New Roman" w:hAnsi="Times New Roman" w:cs="Times New Roman"/>
          <w:sz w:val="22"/>
          <w:szCs w:val="22"/>
        </w:rPr>
        <w:t>10% от начальной цены продажи лота, установленной для определенного периода проведения торгов</w:t>
      </w:r>
      <w:r>
        <w:rPr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_____</w:t>
      </w:r>
      <w:r>
        <w:rPr>
          <w:color w:val="000000"/>
          <w:spacing w:val="-1"/>
          <w:sz w:val="22"/>
          <w:szCs w:val="22"/>
        </w:rPr>
        <w:t>_____________</w:t>
      </w:r>
      <w:r>
        <w:rPr>
          <w:sz w:val="22"/>
          <w:szCs w:val="22"/>
        </w:rPr>
        <w:t xml:space="preserve"> рублей (далее – «Задаток»), на р/сч 40817810248005388838 в ПАО "Сбербанк России" Курское отделение № 8596, БИК 043807606, к/с 30101810300000000606, получатель Козочкин Михаил Геннадиевич., а Организатор торгов принимает Задаток.</w:t>
      </w:r>
    </w:p>
    <w:p w:rsidR="00000000" w:rsidRDefault="00495B05">
      <w:pPr>
        <w:tabs>
          <w:tab w:val="left" w:pos="870"/>
        </w:tabs>
        <w:rPr>
          <w:sz w:val="22"/>
          <w:szCs w:val="22"/>
        </w:rPr>
      </w:pPr>
      <w:r>
        <w:rPr>
          <w:sz w:val="22"/>
          <w:szCs w:val="22"/>
        </w:rPr>
        <w:t xml:space="preserve">1.2. Задаток </w:t>
      </w:r>
      <w:r>
        <w:rPr>
          <w:sz w:val="22"/>
          <w:szCs w:val="22"/>
        </w:rPr>
        <w:t>вносится Заявителем в счет обеспечения исполнения обязательств по оплате продаваемого на торгах Имущества.</w:t>
      </w:r>
    </w:p>
    <w:p w:rsidR="00000000" w:rsidRDefault="00495B05">
      <w:pPr>
        <w:rPr>
          <w:sz w:val="22"/>
          <w:szCs w:val="22"/>
        </w:rPr>
      </w:pPr>
    </w:p>
    <w:p w:rsidR="00000000" w:rsidRDefault="00495B05">
      <w:pPr>
        <w:widowControl/>
        <w:numPr>
          <w:ilvl w:val="0"/>
          <w:numId w:val="2"/>
        </w:numPr>
        <w:tabs>
          <w:tab w:val="left" w:pos="36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>Порядок внесения задатка</w:t>
      </w:r>
    </w:p>
    <w:p w:rsidR="00000000" w:rsidRDefault="00495B05">
      <w:pPr>
        <w:rPr>
          <w:sz w:val="22"/>
          <w:szCs w:val="22"/>
        </w:rPr>
      </w:pPr>
      <w:r>
        <w:rPr>
          <w:sz w:val="22"/>
          <w:szCs w:val="22"/>
        </w:rPr>
        <w:t>2.1. Задаток должен быть внесен Заявителем на указанный в п. 1.1 настоящего Договора счет не позднее даты и времени окончан</w:t>
      </w:r>
      <w:r>
        <w:rPr>
          <w:sz w:val="22"/>
          <w:szCs w:val="22"/>
        </w:rPr>
        <w:t>ия приема заявок, в соответствии с извещением о проведении торгов и считается внесенным с даты поступления всей суммы задатка на указанный счет. В случае не поступления суммы задатка в установленный срок обязательства Заявителя по внесению задатка считаютс</w:t>
      </w:r>
      <w:r>
        <w:rPr>
          <w:sz w:val="22"/>
          <w:szCs w:val="22"/>
        </w:rPr>
        <w:t>я не выполненными. В этом случае Заявитель к участию в торгах не допускается. Документом, подтверждающим внесение или не внесение Заявителем задатка, является выписка с указанного в п. 1.1 настоящего договора счета.</w:t>
      </w:r>
    </w:p>
    <w:p w:rsidR="00000000" w:rsidRDefault="00495B05">
      <w:pPr>
        <w:rPr>
          <w:sz w:val="22"/>
          <w:szCs w:val="22"/>
        </w:rPr>
      </w:pPr>
      <w:r>
        <w:rPr>
          <w:sz w:val="22"/>
          <w:szCs w:val="22"/>
        </w:rPr>
        <w:t>2.2. Организатор торгов не вправе распор</w:t>
      </w:r>
      <w:r>
        <w:rPr>
          <w:sz w:val="22"/>
          <w:szCs w:val="22"/>
        </w:rPr>
        <w:t>яжаться денежными средствами, поступившими на его счет в качестве задатка согласно настоящего договора.</w:t>
      </w:r>
    </w:p>
    <w:p w:rsidR="00000000" w:rsidRDefault="00495B05">
      <w:pPr>
        <w:rPr>
          <w:sz w:val="22"/>
          <w:szCs w:val="22"/>
        </w:rPr>
      </w:pPr>
      <w:r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000000" w:rsidRDefault="00495B05">
      <w:pPr>
        <w:tabs>
          <w:tab w:val="left" w:pos="0"/>
        </w:tabs>
        <w:ind w:firstLine="709"/>
        <w:rPr>
          <w:sz w:val="22"/>
          <w:szCs w:val="22"/>
        </w:rPr>
      </w:pPr>
    </w:p>
    <w:p w:rsidR="00000000" w:rsidRDefault="00495B05">
      <w:pPr>
        <w:widowControl/>
        <w:numPr>
          <w:ilvl w:val="0"/>
          <w:numId w:val="2"/>
        </w:numPr>
        <w:tabs>
          <w:tab w:val="left" w:pos="360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>Порядок возврата и удержания задатка</w:t>
      </w:r>
    </w:p>
    <w:p w:rsidR="00000000" w:rsidRDefault="00495B05">
      <w:pPr>
        <w:rPr>
          <w:sz w:val="22"/>
          <w:szCs w:val="22"/>
        </w:rPr>
      </w:pPr>
      <w:r>
        <w:rPr>
          <w:sz w:val="22"/>
          <w:szCs w:val="22"/>
        </w:rPr>
        <w:t>3.1. Задат</w:t>
      </w:r>
      <w:r>
        <w:rPr>
          <w:sz w:val="22"/>
          <w:szCs w:val="22"/>
        </w:rPr>
        <w:t>ок возвращается в случаях и в сроки, которые установлены пп. 3.2 – 3.6 настоящего договора путем перечисления суммы внесенного задатка на указанный в разделе 5 (пять) настоящего Договора счет Заявителя. Заявитель обязан незамедлительно информировать Органи</w:t>
      </w:r>
      <w:r>
        <w:rPr>
          <w:sz w:val="22"/>
          <w:szCs w:val="22"/>
        </w:rPr>
        <w:t>затора торгов об изменениях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</w:t>
      </w:r>
      <w:r>
        <w:rPr>
          <w:sz w:val="22"/>
          <w:szCs w:val="22"/>
        </w:rPr>
        <w:t xml:space="preserve">овских реквизитов. </w:t>
      </w:r>
      <w:r>
        <w:rPr>
          <w:rFonts w:ascii="Times New Roman" w:hAnsi="Times New Roman" w:cs="Times New Roman"/>
          <w:sz w:val="22"/>
          <w:szCs w:val="22"/>
        </w:rPr>
        <w:t>С суммы возвращаемого задатка удерживается комиссия по тарифам банка, в котором имеет счет организатор торгов.</w:t>
      </w:r>
    </w:p>
    <w:p w:rsidR="00000000" w:rsidRDefault="00495B05">
      <w:pPr>
        <w:rPr>
          <w:sz w:val="22"/>
          <w:szCs w:val="22"/>
        </w:rPr>
      </w:pPr>
      <w:r>
        <w:rPr>
          <w:sz w:val="22"/>
          <w:szCs w:val="22"/>
        </w:rPr>
        <w:t>3.2. В случае, если Заявитель не будет допущен к участию в торгах, Организатор торгов обязуется возвратить сумму внесенного За</w:t>
      </w:r>
      <w:r>
        <w:rPr>
          <w:sz w:val="22"/>
          <w:szCs w:val="22"/>
        </w:rPr>
        <w:t>явителем задатка в течение 5 (пяти) дней с момента подписания протокола о торгах.</w:t>
      </w:r>
    </w:p>
    <w:p w:rsidR="00000000" w:rsidRDefault="00495B05">
      <w:pPr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3.3. </w:t>
      </w:r>
      <w:r>
        <w:rPr>
          <w:color w:val="000000"/>
          <w:sz w:val="22"/>
          <w:szCs w:val="22"/>
        </w:rPr>
        <w:t xml:space="preserve">В случае, если Заявитель участвовал в торгах, но не выиграл их, Организатор торгов обязуется </w:t>
      </w:r>
      <w:r>
        <w:rPr>
          <w:color w:val="000000"/>
          <w:sz w:val="22"/>
          <w:szCs w:val="22"/>
        </w:rPr>
        <w:lastRenderedPageBreak/>
        <w:t xml:space="preserve">возвратить сумму внесенного Заявителем задатка в течение </w:t>
      </w:r>
      <w:r>
        <w:rPr>
          <w:sz w:val="22"/>
          <w:szCs w:val="22"/>
        </w:rPr>
        <w:t>5 (пяти) дней с мом</w:t>
      </w:r>
      <w:r>
        <w:rPr>
          <w:sz w:val="22"/>
          <w:szCs w:val="22"/>
        </w:rPr>
        <w:t>ента подписания протокола о торгах</w:t>
      </w:r>
      <w:r>
        <w:rPr>
          <w:color w:val="000000"/>
          <w:sz w:val="22"/>
          <w:szCs w:val="22"/>
        </w:rPr>
        <w:t>. В случае,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</w:t>
      </w:r>
      <w:r>
        <w:rPr>
          <w:color w:val="000000"/>
          <w:sz w:val="22"/>
          <w:szCs w:val="22"/>
        </w:rPr>
        <w:t xml:space="preserve">ем задатка возвращается в течение </w:t>
      </w:r>
      <w:r>
        <w:rPr>
          <w:sz w:val="22"/>
          <w:szCs w:val="22"/>
        </w:rPr>
        <w:t>5 (пяти) дней с момента подписания протокола о торгах</w:t>
      </w:r>
      <w:r>
        <w:rPr>
          <w:color w:val="000000"/>
          <w:sz w:val="22"/>
          <w:szCs w:val="22"/>
        </w:rPr>
        <w:t>.</w:t>
      </w:r>
    </w:p>
    <w:p w:rsidR="00000000" w:rsidRDefault="00495B0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</w:t>
      </w:r>
      <w:r>
        <w:rPr>
          <w:color w:val="000000"/>
          <w:sz w:val="22"/>
          <w:szCs w:val="22"/>
        </w:rPr>
        <w:t xml:space="preserve"> Заявителем задатка в течение </w:t>
      </w:r>
      <w:r>
        <w:rPr>
          <w:sz w:val="22"/>
          <w:szCs w:val="22"/>
        </w:rPr>
        <w:t>5 (пяти) дней с момента подписания протокола о торгах</w:t>
      </w:r>
      <w:r>
        <w:rPr>
          <w:color w:val="000000"/>
          <w:sz w:val="22"/>
          <w:szCs w:val="22"/>
        </w:rPr>
        <w:t>.</w:t>
      </w:r>
    </w:p>
    <w:p w:rsidR="00000000" w:rsidRDefault="00495B0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В случае признания торгов  несостоявшимися,  Организатор торгов обязуется  возвратить сумму внесенного Заявителем задатка в течение </w:t>
      </w:r>
      <w:r>
        <w:rPr>
          <w:sz w:val="22"/>
          <w:szCs w:val="22"/>
        </w:rPr>
        <w:t>5 (пяти) дней с момента подписания</w:t>
      </w:r>
      <w:r>
        <w:rPr>
          <w:sz w:val="22"/>
          <w:szCs w:val="22"/>
        </w:rPr>
        <w:t xml:space="preserve"> протокола о торгах</w:t>
      </w:r>
      <w:r>
        <w:rPr>
          <w:color w:val="000000"/>
          <w:sz w:val="22"/>
          <w:szCs w:val="22"/>
        </w:rPr>
        <w:t>.</w:t>
      </w:r>
    </w:p>
    <w:p w:rsidR="00000000" w:rsidRDefault="00495B0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3.6. В случае отмены торгов по продаже Имущества Организатор торгов возвращает сумму внесенного Заявителем задатка в течение 5</w:t>
      </w:r>
      <w:r>
        <w:rPr>
          <w:sz w:val="22"/>
          <w:szCs w:val="22"/>
        </w:rPr>
        <w:t xml:space="preserve"> (пяти) дней с момента подачи соответствующего заявления на имя Организатора торгов</w:t>
      </w:r>
      <w:r>
        <w:rPr>
          <w:color w:val="000000"/>
          <w:sz w:val="22"/>
          <w:szCs w:val="22"/>
        </w:rPr>
        <w:t>.</w:t>
      </w:r>
    </w:p>
    <w:p w:rsidR="00000000" w:rsidRDefault="00495B0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3.7. Внесенный задаток н</w:t>
      </w:r>
      <w:r>
        <w:rPr>
          <w:color w:val="000000"/>
          <w:sz w:val="22"/>
          <w:szCs w:val="22"/>
        </w:rPr>
        <w:t xml:space="preserve">е возвращается в случае, если Заявитель, признанный победителем торгов: </w:t>
      </w:r>
    </w:p>
    <w:p w:rsidR="00000000" w:rsidRDefault="00495B05">
      <w:pPr>
        <w:tabs>
          <w:tab w:val="left" w:pos="1440"/>
        </w:tabs>
        <w:ind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3.7.1. уклонится от подписания Протокола о результатах торгов, имеющего силу договора, в установленный срок (уклонится от заключения в установленный извещением о проведении торгов сро</w:t>
      </w:r>
      <w:r>
        <w:rPr>
          <w:color w:val="000000"/>
          <w:sz w:val="22"/>
          <w:szCs w:val="22"/>
        </w:rPr>
        <w:t>к Договора купли - продажи имущества);</w:t>
      </w:r>
    </w:p>
    <w:p w:rsidR="00000000" w:rsidRDefault="00495B05">
      <w:pPr>
        <w:tabs>
          <w:tab w:val="left" w:pos="1440"/>
        </w:tabs>
        <w:ind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3.7.2. уклонится от оплаты продаваемого на торгах Имущества в срок, установленный подписанным Протоколом о результатах торгов (уклонится от оплаты продаваемого на торгах Имущества в срок, установленный заключенным Дог</w:t>
      </w:r>
      <w:r>
        <w:rPr>
          <w:color w:val="000000"/>
          <w:sz w:val="22"/>
          <w:szCs w:val="22"/>
        </w:rPr>
        <w:t>овором купли - продажи имущества).</w:t>
      </w:r>
    </w:p>
    <w:p w:rsidR="00000000" w:rsidRDefault="00495B05">
      <w:pPr>
        <w:ind w:firstLine="709"/>
        <w:rPr>
          <w:sz w:val="22"/>
          <w:szCs w:val="22"/>
        </w:rPr>
      </w:pPr>
      <w:r>
        <w:rPr>
          <w:color w:val="000000"/>
          <w:sz w:val="22"/>
          <w:szCs w:val="22"/>
        </w:rPr>
        <w:t>3.7.3. 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</w:t>
      </w:r>
      <w:r>
        <w:rPr>
          <w:color w:val="000000"/>
          <w:sz w:val="22"/>
          <w:szCs w:val="22"/>
        </w:rPr>
        <w:t>ном порядке Договора купли - продажи имущества).</w:t>
      </w:r>
    </w:p>
    <w:p w:rsidR="00000000" w:rsidRDefault="00495B05">
      <w:pPr>
        <w:tabs>
          <w:tab w:val="left" w:pos="0"/>
        </w:tabs>
        <w:ind w:firstLine="709"/>
        <w:rPr>
          <w:sz w:val="22"/>
          <w:szCs w:val="22"/>
        </w:rPr>
      </w:pPr>
    </w:p>
    <w:p w:rsidR="00000000" w:rsidRDefault="00495B05">
      <w:pPr>
        <w:widowControl/>
        <w:numPr>
          <w:ilvl w:val="0"/>
          <w:numId w:val="2"/>
        </w:numPr>
        <w:tabs>
          <w:tab w:val="left" w:pos="360"/>
        </w:tabs>
        <w:jc w:val="center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>Срок действия настоящего договора</w:t>
      </w:r>
    </w:p>
    <w:p w:rsidR="00000000" w:rsidRDefault="00495B05">
      <w:pPr>
        <w:tabs>
          <w:tab w:val="left" w:pos="12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00000" w:rsidRDefault="00495B05">
      <w:pPr>
        <w:tabs>
          <w:tab w:val="left" w:pos="12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4.2. Все возможны</w:t>
      </w:r>
      <w:r>
        <w:rPr>
          <w:color w:val="000000"/>
          <w:sz w:val="22"/>
          <w:szCs w:val="22"/>
        </w:rPr>
        <w:t>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   путем    переговоров,    они    разрешаются    в    соответствии    с    действующи</w:t>
      </w:r>
      <w:r>
        <w:rPr>
          <w:color w:val="000000"/>
          <w:sz w:val="22"/>
          <w:szCs w:val="22"/>
        </w:rPr>
        <w:t>м законодательством РФ.</w:t>
      </w:r>
    </w:p>
    <w:p w:rsidR="00000000" w:rsidRDefault="00495B05">
      <w:pPr>
        <w:tabs>
          <w:tab w:val="left" w:pos="1260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495B05">
      <w:pPr>
        <w:tabs>
          <w:tab w:val="left" w:pos="1260"/>
        </w:tabs>
        <w:rPr>
          <w:color w:val="000000"/>
          <w:sz w:val="22"/>
          <w:szCs w:val="22"/>
        </w:rPr>
      </w:pPr>
    </w:p>
    <w:p w:rsidR="00000000" w:rsidRDefault="00495B05">
      <w:pPr>
        <w:jc w:val="center"/>
      </w:pPr>
      <w:r>
        <w:rPr>
          <w:b/>
        </w:rPr>
        <w:t>5. Реквизиты и подписи Сторон.</w:t>
      </w:r>
    </w:p>
    <w:p w:rsidR="00000000" w:rsidRDefault="00495B05">
      <w:pPr>
        <w:jc w:val="center"/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6"/>
        <w:gridCol w:w="433"/>
        <w:gridCol w:w="4907"/>
      </w:tblGrid>
      <w:tr w:rsidR="00000000">
        <w:trPr>
          <w:trHeight w:hRule="exact" w:val="279"/>
        </w:trPr>
        <w:tc>
          <w:tcPr>
            <w:tcW w:w="5016" w:type="dxa"/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jc w:val="center"/>
              <w:rPr>
                <w:b/>
                <w:color w:val="292929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33" w:type="dxa"/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jc w:val="center"/>
              <w:rPr>
                <w:b/>
                <w:color w:val="292929"/>
              </w:rPr>
            </w:pPr>
          </w:p>
        </w:tc>
        <w:tc>
          <w:tcPr>
            <w:tcW w:w="4907" w:type="dxa"/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jc w:val="center"/>
            </w:pPr>
            <w:r>
              <w:rPr>
                <w:b/>
                <w:sz w:val="22"/>
                <w:szCs w:val="22"/>
              </w:rPr>
              <w:t>Заявитель</w:t>
            </w:r>
          </w:p>
        </w:tc>
      </w:tr>
      <w:tr w:rsidR="00000000">
        <w:trPr>
          <w:trHeight w:hRule="exact" w:val="279"/>
        </w:trPr>
        <w:tc>
          <w:tcPr>
            <w:tcW w:w="5016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rPr>
                <w:color w:val="292929"/>
              </w:rPr>
            </w:pPr>
          </w:p>
        </w:tc>
        <w:tc>
          <w:tcPr>
            <w:tcW w:w="433" w:type="dxa"/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rPr>
                <w:color w:val="292929"/>
              </w:rPr>
            </w:pPr>
          </w:p>
        </w:tc>
        <w:tc>
          <w:tcPr>
            <w:tcW w:w="4907" w:type="dxa"/>
            <w:tcBorders>
              <w:bottom w:val="single" w:sz="4" w:space="0" w:color="000000"/>
            </w:tcBorders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rPr>
                <w:color w:val="292929"/>
              </w:rPr>
            </w:pPr>
          </w:p>
        </w:tc>
      </w:tr>
      <w:tr w:rsidR="00000000">
        <w:trPr>
          <w:trHeight w:hRule="exact" w:val="279"/>
        </w:trPr>
        <w:tc>
          <w:tcPr>
            <w:tcW w:w="50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ind w:left="142"/>
              <w:rPr>
                <w:color w:val="292929"/>
              </w:rPr>
            </w:pPr>
          </w:p>
        </w:tc>
        <w:tc>
          <w:tcPr>
            <w:tcW w:w="433" w:type="dxa"/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rPr>
                <w:color w:val="292929"/>
              </w:rPr>
            </w:pPr>
          </w:p>
        </w:tc>
        <w:tc>
          <w:tcPr>
            <w:tcW w:w="49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ind w:left="221"/>
              <w:rPr>
                <w:color w:val="292929"/>
              </w:rPr>
            </w:pPr>
          </w:p>
        </w:tc>
      </w:tr>
      <w:tr w:rsidR="00000000">
        <w:trPr>
          <w:trHeight w:hRule="exact" w:val="279"/>
        </w:trPr>
        <w:tc>
          <w:tcPr>
            <w:tcW w:w="5016" w:type="dxa"/>
            <w:tcBorders>
              <w:top w:val="single" w:sz="4" w:space="0" w:color="000000"/>
            </w:tcBorders>
            <w:shd w:val="clear" w:color="auto" w:fill="FFFFFF"/>
          </w:tcPr>
          <w:p w:rsidR="00000000" w:rsidRDefault="00495B05">
            <w:pPr>
              <w:pStyle w:val="NormalWeb"/>
              <w:spacing w:before="0" w:after="0"/>
              <w:jc w:val="center"/>
              <w:rPr>
                <w:color w:val="292929"/>
              </w:rPr>
            </w:pPr>
          </w:p>
        </w:tc>
        <w:tc>
          <w:tcPr>
            <w:tcW w:w="433" w:type="dxa"/>
            <w:shd w:val="clear" w:color="auto" w:fill="FFFFFF"/>
            <w:vAlign w:val="bottom"/>
          </w:tcPr>
          <w:p w:rsidR="00000000" w:rsidRDefault="00495B05">
            <w:pPr>
              <w:pStyle w:val="NormalWeb"/>
              <w:spacing w:before="0" w:after="0"/>
              <w:jc w:val="center"/>
              <w:rPr>
                <w:color w:val="292929"/>
              </w:rPr>
            </w:pPr>
          </w:p>
        </w:tc>
        <w:tc>
          <w:tcPr>
            <w:tcW w:w="4907" w:type="dxa"/>
            <w:tcBorders>
              <w:top w:val="single" w:sz="4" w:space="0" w:color="000000"/>
            </w:tcBorders>
            <w:shd w:val="clear" w:color="auto" w:fill="FFFFFF"/>
          </w:tcPr>
          <w:p w:rsidR="00000000" w:rsidRDefault="00495B05">
            <w:pPr>
              <w:pStyle w:val="NormalWeb"/>
              <w:spacing w:before="0" w:after="0"/>
              <w:jc w:val="center"/>
              <w:rPr>
                <w:color w:val="292929"/>
              </w:rPr>
            </w:pPr>
          </w:p>
        </w:tc>
      </w:tr>
    </w:tbl>
    <w:p w:rsidR="00000000" w:rsidRDefault="00495B05"/>
    <w:p w:rsidR="00000000" w:rsidRDefault="00495B05">
      <w:pPr>
        <w:tabs>
          <w:tab w:val="left" w:pos="1260"/>
        </w:tabs>
        <w:rPr>
          <w:color w:val="000000"/>
          <w:sz w:val="22"/>
          <w:szCs w:val="22"/>
        </w:rPr>
      </w:pPr>
    </w:p>
    <w:p w:rsidR="00000000" w:rsidRDefault="00495B05">
      <w:pPr>
        <w:tabs>
          <w:tab w:val="left" w:pos="0"/>
          <w:tab w:val="left" w:pos="1260"/>
        </w:tabs>
        <w:ind w:firstLine="709"/>
        <w:rPr>
          <w:sz w:val="22"/>
          <w:szCs w:val="22"/>
        </w:rPr>
      </w:pPr>
    </w:p>
    <w:p w:rsidR="00000000" w:rsidRDefault="00495B05">
      <w:pPr>
        <w:rPr>
          <w:sz w:val="22"/>
          <w:szCs w:val="22"/>
        </w:rPr>
      </w:pPr>
    </w:p>
    <w:p w:rsidR="00495B05" w:rsidRDefault="00495B05"/>
    <w:sectPr w:rsidR="00495B05">
      <w:footerReference w:type="default" r:id="rId8"/>
      <w:pgSz w:w="11906" w:h="16800"/>
      <w:pgMar w:top="426" w:right="800" w:bottom="777" w:left="800" w:header="720" w:footer="720" w:gutter="0"/>
      <w:cols w:space="72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B05" w:rsidRDefault="00495B05">
      <w:pPr>
        <w:spacing w:line="240" w:lineRule="auto"/>
      </w:pPr>
      <w:r>
        <w:separator/>
      </w:r>
    </w:p>
  </w:endnote>
  <w:endnote w:type="continuationSeparator" w:id="0">
    <w:p w:rsidR="00495B05" w:rsidRDefault="00495B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95B05">
    <w:pPr>
      <w:pStyle w:val="a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B05" w:rsidRDefault="00495B05">
      <w:pPr>
        <w:spacing w:line="240" w:lineRule="auto"/>
      </w:pPr>
      <w:r>
        <w:separator/>
      </w:r>
    </w:p>
  </w:footnote>
  <w:footnote w:type="continuationSeparator" w:id="0">
    <w:p w:rsidR="00495B05" w:rsidRDefault="00495B0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2D5"/>
    <w:rsid w:val="00495B05"/>
    <w:rsid w:val="006C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line="100" w:lineRule="atLeast"/>
      <w:ind w:firstLine="720"/>
      <w:jc w:val="both"/>
    </w:pPr>
    <w:rPr>
      <w:rFonts w:ascii="Times New Roman CYR" w:eastAsia="SimSun" w:hAnsi="Times New Roman CYR" w:cs="Times New Roman CYR"/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10">
    <w:name w:val="Заголовок 1 Знак"/>
    <w:basedOn w:val="DefaultParagraphFont"/>
    <w:rPr>
      <w:rFonts w:ascii="Calibri Light" w:hAnsi="Calibri Light" w:cs="Times New Roman"/>
      <w:b/>
      <w:bCs/>
      <w:kern w:val="1"/>
      <w:sz w:val="32"/>
      <w:szCs w:val="32"/>
    </w:rPr>
  </w:style>
  <w:style w:type="character" w:customStyle="1" w:styleId="a4">
    <w:name w:val="Цветовое выделение"/>
    <w:rPr>
      <w:b/>
      <w:color w:val="26282F"/>
    </w:rPr>
  </w:style>
  <w:style w:type="character" w:customStyle="1" w:styleId="a5">
    <w:name w:val="Гипертекстовая ссылка"/>
    <w:basedOn w:val="a4"/>
    <w:rPr>
      <w:rFonts w:cs="Times New Roman"/>
      <w:b w:val="0"/>
      <w:color w:val="106BBE"/>
    </w:rPr>
  </w:style>
  <w:style w:type="character" w:customStyle="1" w:styleId="a6">
    <w:name w:val="Цветовое выделение для Текст"/>
    <w:rPr>
      <w:rFonts w:ascii="Times New Roman CYR" w:hAnsi="Times New Roman CYR"/>
    </w:rPr>
  </w:style>
  <w:style w:type="character" w:customStyle="1" w:styleId="a7">
    <w:name w:val="Верхний колонтитул Знак"/>
    <w:basedOn w:val="DefaultParagraphFont"/>
    <w:rPr>
      <w:rFonts w:ascii="Times New Roman CYR" w:hAnsi="Times New Roman CYR" w:cs="Times New Roman CYR"/>
      <w:sz w:val="24"/>
      <w:szCs w:val="24"/>
    </w:rPr>
  </w:style>
  <w:style w:type="character" w:customStyle="1" w:styleId="a8">
    <w:name w:val="Нижний колонтитул Знак"/>
    <w:basedOn w:val="DefaultParagraphFont"/>
    <w:rPr>
      <w:rFonts w:ascii="Times New Roman CYR" w:hAnsi="Times New Roman CYR" w:cs="Times New Roman CYR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paragraph" w:customStyle="1" w:styleId="a9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a">
    <w:name w:val="List"/>
    <w:basedOn w:val="a0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ab">
    <w:name w:val="Нормальный (таблица)"/>
    <w:basedOn w:val="a"/>
    <w:pPr>
      <w:ind w:firstLine="0"/>
    </w:pPr>
  </w:style>
  <w:style w:type="paragraph" w:customStyle="1" w:styleId="ac">
    <w:name w:val="Прижатый влево"/>
    <w:basedOn w:val="a"/>
    <w:pPr>
      <w:ind w:firstLine="0"/>
      <w:jc w:val="left"/>
    </w:pPr>
  </w:style>
  <w:style w:type="paragraph" w:styleId="ad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e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NoSpacing">
    <w:name w:val="No Spacing"/>
    <w:pPr>
      <w:widowControl w:val="0"/>
      <w:suppressAutoHyphens/>
      <w:spacing w:line="100" w:lineRule="atLeast"/>
      <w:ind w:firstLine="720"/>
      <w:jc w:val="both"/>
    </w:pPr>
    <w:rPr>
      <w:rFonts w:ascii="Times New Roman CYR" w:eastAsia="SimSun" w:hAnsi="Times New Roman CYR" w:cs="Times New Roman CYR"/>
      <w:sz w:val="24"/>
      <w:szCs w:val="24"/>
      <w:lang w:eastAsia="ar-SA"/>
    </w:rPr>
  </w:style>
  <w:style w:type="paragraph" w:customStyle="1" w:styleId="NormalWeb">
    <w:name w:val="Normal (Web)"/>
    <w:basedOn w:val="a"/>
    <w:pPr>
      <w:widowControl/>
      <w:spacing w:before="100" w:after="100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line="100" w:lineRule="atLeast"/>
      <w:ind w:firstLine="720"/>
      <w:jc w:val="both"/>
    </w:pPr>
    <w:rPr>
      <w:rFonts w:ascii="Times New Roman CYR" w:eastAsia="SimSun" w:hAnsi="Times New Roman CYR" w:cs="Times New Roman CYR"/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10">
    <w:name w:val="Заголовок 1 Знак"/>
    <w:basedOn w:val="DefaultParagraphFont"/>
    <w:rPr>
      <w:rFonts w:ascii="Calibri Light" w:hAnsi="Calibri Light" w:cs="Times New Roman"/>
      <w:b/>
      <w:bCs/>
      <w:kern w:val="1"/>
      <w:sz w:val="32"/>
      <w:szCs w:val="32"/>
    </w:rPr>
  </w:style>
  <w:style w:type="character" w:customStyle="1" w:styleId="a4">
    <w:name w:val="Цветовое выделение"/>
    <w:rPr>
      <w:b/>
      <w:color w:val="26282F"/>
    </w:rPr>
  </w:style>
  <w:style w:type="character" w:customStyle="1" w:styleId="a5">
    <w:name w:val="Гипертекстовая ссылка"/>
    <w:basedOn w:val="a4"/>
    <w:rPr>
      <w:rFonts w:cs="Times New Roman"/>
      <w:b w:val="0"/>
      <w:color w:val="106BBE"/>
    </w:rPr>
  </w:style>
  <w:style w:type="character" w:customStyle="1" w:styleId="a6">
    <w:name w:val="Цветовое выделение для Текст"/>
    <w:rPr>
      <w:rFonts w:ascii="Times New Roman CYR" w:hAnsi="Times New Roman CYR"/>
    </w:rPr>
  </w:style>
  <w:style w:type="character" w:customStyle="1" w:styleId="a7">
    <w:name w:val="Верхний колонтитул Знак"/>
    <w:basedOn w:val="DefaultParagraphFont"/>
    <w:rPr>
      <w:rFonts w:ascii="Times New Roman CYR" w:hAnsi="Times New Roman CYR" w:cs="Times New Roman CYR"/>
      <w:sz w:val="24"/>
      <w:szCs w:val="24"/>
    </w:rPr>
  </w:style>
  <w:style w:type="character" w:customStyle="1" w:styleId="a8">
    <w:name w:val="Нижний колонтитул Знак"/>
    <w:basedOn w:val="DefaultParagraphFont"/>
    <w:rPr>
      <w:rFonts w:ascii="Times New Roman CYR" w:hAnsi="Times New Roman CYR" w:cs="Times New Roman CYR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paragraph" w:customStyle="1" w:styleId="a9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a">
    <w:name w:val="List"/>
    <w:basedOn w:val="a0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ab">
    <w:name w:val="Нормальный (таблица)"/>
    <w:basedOn w:val="a"/>
    <w:pPr>
      <w:ind w:firstLine="0"/>
    </w:pPr>
  </w:style>
  <w:style w:type="paragraph" w:customStyle="1" w:styleId="ac">
    <w:name w:val="Прижатый влево"/>
    <w:basedOn w:val="a"/>
    <w:pPr>
      <w:ind w:firstLine="0"/>
      <w:jc w:val="left"/>
    </w:pPr>
  </w:style>
  <w:style w:type="paragraph" w:styleId="ad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e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NoSpacing">
    <w:name w:val="No Spacing"/>
    <w:pPr>
      <w:widowControl w:val="0"/>
      <w:suppressAutoHyphens/>
      <w:spacing w:line="100" w:lineRule="atLeast"/>
      <w:ind w:firstLine="720"/>
      <w:jc w:val="both"/>
    </w:pPr>
    <w:rPr>
      <w:rFonts w:ascii="Times New Roman CYR" w:eastAsia="SimSun" w:hAnsi="Times New Roman CYR" w:cs="Times New Roman CYR"/>
      <w:sz w:val="24"/>
      <w:szCs w:val="24"/>
      <w:lang w:eastAsia="ar-SA"/>
    </w:rPr>
  </w:style>
  <w:style w:type="paragraph" w:customStyle="1" w:styleId="NormalWeb">
    <w:name w:val="Normal (Web)"/>
    <w:basedOn w:val="a"/>
    <w:pPr>
      <w:widowControl/>
      <w:spacing w:before="100" w:after="100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Alexander</cp:lastModifiedBy>
  <cp:revision>2</cp:revision>
  <cp:lastPrinted>2023-02-16T06:40:00Z</cp:lastPrinted>
  <dcterms:created xsi:type="dcterms:W3CDTF">2026-09-21T09:03:00Z</dcterms:created>
  <dcterms:modified xsi:type="dcterms:W3CDTF">2026-09-21T09:03:00Z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НПП "Гарант-Сервис"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