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D1" w:rsidRDefault="00BF7985">
      <w:pPr>
        <w:spacing w:after="0" w:line="240" w:lineRule="auto"/>
        <w:ind w:firstLine="0"/>
        <w:jc w:val="right"/>
        <w:rPr>
          <w:rFonts w:eastAsia="Times New Roman"/>
          <w:b/>
          <w:sz w:val="20"/>
          <w:szCs w:val="20"/>
          <w:u w:val="single"/>
          <w:lang w:eastAsia="ar-SA"/>
        </w:rPr>
      </w:pPr>
      <w:r>
        <w:rPr>
          <w:rFonts w:eastAsia="Times New Roman"/>
          <w:b/>
          <w:sz w:val="20"/>
          <w:szCs w:val="20"/>
          <w:u w:val="single"/>
          <w:lang w:eastAsia="ar-SA"/>
        </w:rPr>
        <w:t>ПРОЕКТ</w:t>
      </w:r>
    </w:p>
    <w:p w:rsidR="008724D1" w:rsidRDefault="008724D1">
      <w:pPr>
        <w:spacing w:after="0" w:line="240" w:lineRule="auto"/>
        <w:ind w:firstLine="0"/>
        <w:rPr>
          <w:rFonts w:eastAsia="Times New Roman"/>
          <w:sz w:val="28"/>
          <w:szCs w:val="28"/>
          <w:lang w:eastAsia="ar-SA"/>
        </w:rPr>
      </w:pPr>
    </w:p>
    <w:p w:rsidR="008724D1" w:rsidRDefault="00BF7985">
      <w:pPr>
        <w:spacing w:after="0" w:line="240" w:lineRule="auto"/>
        <w:ind w:firstLine="0"/>
        <w:jc w:val="center"/>
      </w:pPr>
      <w:r>
        <w:rPr>
          <w:rFonts w:eastAsia="Times New Roman"/>
          <w:b/>
          <w:sz w:val="28"/>
          <w:szCs w:val="28"/>
          <w:lang w:eastAsia="ar-SA"/>
        </w:rPr>
        <w:t xml:space="preserve">Договор о задатке </w:t>
      </w:r>
    </w:p>
    <w:p w:rsidR="008724D1" w:rsidRDefault="008724D1">
      <w:pPr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  <w:lang w:eastAsia="ar-SA"/>
        </w:rPr>
      </w:pPr>
    </w:p>
    <w:p w:rsidR="008724D1" w:rsidRDefault="008724D1">
      <w:pPr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8724D1" w:rsidRDefault="00BF7985">
      <w:pPr>
        <w:spacing w:after="0" w:line="240" w:lineRule="auto"/>
        <w:ind w:firstLine="0"/>
        <w:jc w:val="both"/>
      </w:pPr>
      <w:r>
        <w:rPr>
          <w:rFonts w:eastAsia="Times New Roman"/>
          <w:lang w:eastAsia="ar-SA"/>
        </w:rPr>
        <w:t>г. Челябинск                                                                                                         «    » ________ 2022год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</w:p>
    <w:p w:rsidR="008724D1" w:rsidRPr="005731C2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 w:rsidRPr="005731C2">
        <w:rPr>
          <w:rFonts w:eastAsia="Times New Roman"/>
          <w:lang w:eastAsia="ar-SA"/>
        </w:rPr>
        <w:t>Мы, нижеподписавшиеся:</w:t>
      </w:r>
    </w:p>
    <w:p w:rsidR="008724D1" w:rsidRPr="005731C2" w:rsidRDefault="00BF7985">
      <w:pPr>
        <w:spacing w:after="0" w:line="240" w:lineRule="auto"/>
        <w:ind w:firstLine="708"/>
        <w:jc w:val="both"/>
      </w:pPr>
      <w:r w:rsidRPr="005731C2">
        <w:t xml:space="preserve">Финансовый управляющий </w:t>
      </w:r>
      <w:r w:rsidR="007164DF" w:rsidRPr="007164DF">
        <w:rPr>
          <w:color w:val="auto"/>
        </w:rPr>
        <w:t xml:space="preserve">Хакимовой Надежды Васильевны (14.03.1993 года рождения, уроженка п. Ново-Павловка, Карасуского района, Кустанайской области, СНИЛС 126-963-516 85, ИНН 741207538017, адрес: Челябинская обл., р-н Коркинский, п. Первомайский, ул. Мира, д. 6, кв. 64)  - Родин Олег Владимирович (ИНН 861004907521, СНИЛС 134-127-50221, 454014, г. Челябинск, а/я 2706, тел. +79085898977), член ПАУ ЦФО (ГРН 1027700542209, ИНН 7705431418, 109316, г. Москва, Остаповский проезд, дом 3, стр.6, оф.201) действующий на основании Решения Арбитражного суда Челябинской области от 19.12.2022 г. по делу №А76-34263/2022, именуемый в дальнейшем «Организатор торгов», с одной стороны, </w:t>
      </w:r>
      <w:r w:rsidRPr="005731C2">
        <w:rPr>
          <w:lang w:eastAsia="ar-SA"/>
        </w:rPr>
        <w:t xml:space="preserve">и </w:t>
      </w:r>
    </w:p>
    <w:p w:rsidR="008724D1" w:rsidRDefault="00BF7985">
      <w:pPr>
        <w:spacing w:after="0" w:line="240" w:lineRule="auto"/>
        <w:ind w:firstLine="0"/>
        <w:jc w:val="both"/>
      </w:pPr>
      <w:r>
        <w:rPr>
          <w:rFonts w:eastAsia="Times New Roman"/>
          <w:lang w:eastAsia="ar-SA"/>
        </w:rPr>
        <w:t xml:space="preserve">__________________________________________________________________________________________________________________________________________________________ далее именуемый (ая) </w:t>
      </w:r>
      <w:r>
        <w:rPr>
          <w:rFonts w:eastAsia="Times New Roman"/>
          <w:b/>
          <w:lang w:eastAsia="ar-SA"/>
        </w:rPr>
        <w:t>«Претендент»</w:t>
      </w:r>
      <w:r>
        <w:rPr>
          <w:rFonts w:eastAsia="Times New Roman"/>
          <w:lang w:eastAsia="ar-SA"/>
        </w:rPr>
        <w:t>, руководствуясь Гражданским Кодексом РФ и Федеральным Законом № 127-ФЗ от 26.10.2002 г. «О несостоятельности (банкротстве)», заключили настоящий договор о нижеследующем:</w:t>
      </w:r>
    </w:p>
    <w:p w:rsidR="008724D1" w:rsidRDefault="008724D1">
      <w:pPr>
        <w:spacing w:after="0" w:line="240" w:lineRule="auto"/>
        <w:ind w:firstLine="708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708"/>
        <w:jc w:val="center"/>
        <w:rPr>
          <w:rFonts w:eastAsia="Times New Roman"/>
          <w:b/>
          <w:lang w:eastAsia="ar-SA"/>
        </w:rPr>
      </w:pPr>
    </w:p>
    <w:p w:rsidR="008724D1" w:rsidRDefault="00BF7985">
      <w:pPr>
        <w:pStyle w:val="ad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Предмет договора</w:t>
      </w:r>
    </w:p>
    <w:p w:rsidR="008724D1" w:rsidRDefault="008724D1">
      <w:pPr>
        <w:spacing w:after="0" w:line="240" w:lineRule="auto"/>
        <w:rPr>
          <w:rFonts w:eastAsia="Times New Roman"/>
          <w:lang w:eastAsia="ar-SA"/>
        </w:rPr>
      </w:pPr>
    </w:p>
    <w:p w:rsidR="0042005B" w:rsidRDefault="00BF798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lang w:eastAsia="ar-SA"/>
        </w:rPr>
        <w:t xml:space="preserve">1.1. </w:t>
      </w:r>
      <w:r>
        <w:rPr>
          <w:rFonts w:eastAsia="Times New Roman"/>
          <w:b/>
          <w:lang w:eastAsia="ar-SA"/>
        </w:rPr>
        <w:t>Претендент</w:t>
      </w:r>
      <w:r>
        <w:rPr>
          <w:rFonts w:eastAsia="Times New Roman"/>
          <w:lang w:eastAsia="ar-SA"/>
        </w:rPr>
        <w:t xml:space="preserve"> в качестве </w:t>
      </w:r>
      <w:r>
        <w:rPr>
          <w:rFonts w:eastAsia="Times New Roman"/>
          <w:u w:val="single"/>
          <w:lang w:eastAsia="ar-SA"/>
        </w:rPr>
        <w:t>задатка</w:t>
      </w:r>
      <w:r>
        <w:rPr>
          <w:rFonts w:eastAsia="Times New Roman"/>
          <w:lang w:eastAsia="ar-SA"/>
        </w:rPr>
        <w:t xml:space="preserve"> за участие в торгах по продаже имущества, указанного в п.п. 1.2. настоящего Договора перечисляет на расчетный счет </w:t>
      </w:r>
      <w:r w:rsidR="007164DF">
        <w:rPr>
          <w:rFonts w:eastAsia="Times New Roman"/>
          <w:lang w:eastAsia="ar-SA"/>
        </w:rPr>
        <w:t xml:space="preserve">в </w:t>
      </w:r>
      <w:r w:rsidR="007164DF" w:rsidRPr="007164DF">
        <w:rPr>
          <w:rFonts w:eastAsia="Times New Roman"/>
          <w:color w:val="000000"/>
          <w:lang w:eastAsia="ar-SA"/>
        </w:rPr>
        <w:t>ЧЕЛЯБИНСКОЕ ОТДЕЛЕНИЕ N8597 ПАО СБЕРБАНК, 454014, Челябинская обл., г. Челябинск, пр-т Комсомольский, 70 В; р/с 40817810072001715369; ИНН Банка получателя: 7707083893; к/с 30101810700000000602; КПП: 745302001; БИК: 047501602; получатель Хакимова Надежда Васильевна</w:t>
      </w:r>
      <w:r>
        <w:rPr>
          <w:rFonts w:eastAsia="Times New Roman"/>
          <w:color w:val="000000"/>
          <w:lang w:eastAsia="ar-SA"/>
        </w:rPr>
        <w:t xml:space="preserve"> задаток в </w:t>
      </w:r>
      <w:r>
        <w:rPr>
          <w:rFonts w:eastAsia="Times New Roman"/>
          <w:color w:val="auto"/>
          <w:lang w:eastAsia="ru-RU"/>
        </w:rPr>
        <w:t>сумме:</w:t>
      </w:r>
      <w:r>
        <w:rPr>
          <w:rFonts w:eastAsia="Times New Roman"/>
          <w:b/>
          <w:color w:val="000000"/>
          <w:lang w:eastAsia="ar-SA"/>
        </w:rPr>
        <w:t xml:space="preserve"> </w:t>
      </w:r>
    </w:p>
    <w:p w:rsidR="008724D1" w:rsidRDefault="007164D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ar-SA"/>
        </w:rPr>
      </w:pPr>
      <w:r w:rsidRPr="007164DF">
        <w:rPr>
          <w:rFonts w:eastAsia="Times New Roman"/>
          <w:b/>
          <w:color w:val="000000"/>
          <w:lang w:eastAsia="ar-SA"/>
        </w:rPr>
        <w:t xml:space="preserve">133 700,00 (сто тридцать три тысячи семьсот) </w:t>
      </w:r>
      <w:r w:rsidR="00BF7985">
        <w:rPr>
          <w:rFonts w:eastAsia="Times New Roman"/>
          <w:color w:val="000000"/>
          <w:lang w:eastAsia="ar-SA"/>
        </w:rPr>
        <w:t xml:space="preserve"> рублей </w:t>
      </w:r>
      <w:r w:rsidR="0042005B" w:rsidRPr="0042005B">
        <w:rPr>
          <w:rFonts w:eastAsia="Times New Roman"/>
          <w:color w:val="000000"/>
          <w:lang w:eastAsia="ar-SA"/>
        </w:rPr>
        <w:t>0</w:t>
      </w:r>
      <w:r w:rsidR="00BF7985">
        <w:rPr>
          <w:rFonts w:eastAsia="Times New Roman"/>
          <w:color w:val="000000"/>
          <w:lang w:eastAsia="ar-SA"/>
        </w:rPr>
        <w:t xml:space="preserve">0 копеек (10% от начальной цены имущества Должника). </w:t>
      </w:r>
      <w:r w:rsidR="00BF7985">
        <w:rPr>
          <w:rFonts w:eastAsia="Times New Roman"/>
          <w:lang w:eastAsia="ar-SA"/>
        </w:rPr>
        <w:t>Организатор торгов принимает задаток.</w:t>
      </w: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t xml:space="preserve">1.2. </w:t>
      </w:r>
      <w:r>
        <w:t xml:space="preserve">Предмет торгов, проводимых финансовым управляющим на </w:t>
      </w:r>
      <w:r>
        <w:rPr>
          <w:rStyle w:val="FontStyle14"/>
          <w:sz w:val="24"/>
          <w:szCs w:val="24"/>
        </w:rPr>
        <w:t xml:space="preserve">электронной торговой площадке </w:t>
      </w:r>
      <w:r>
        <w:t xml:space="preserve">«Уральская электронная торговая площадка», размещенная на </w:t>
      </w:r>
      <w:r>
        <w:rPr>
          <w:color w:val="000000"/>
        </w:rPr>
        <w:t xml:space="preserve">сайте </w:t>
      </w:r>
      <w:hyperlink r:id="rId8">
        <w:r>
          <w:rPr>
            <w:color w:val="0070C0"/>
          </w:rPr>
          <w:t>http://www.etpu.ru/</w:t>
        </w:r>
      </w:hyperlink>
      <w:r>
        <w:rPr>
          <w:color w:val="000000"/>
        </w:rPr>
        <w:t xml:space="preserve"> в сети Интернет</w:t>
      </w:r>
      <w:r>
        <w:t xml:space="preserve"> </w:t>
      </w:r>
      <w:r>
        <w:rPr>
          <w:b/>
        </w:rPr>
        <w:t>состоящий:</w:t>
      </w:r>
    </w:p>
    <w:p w:rsidR="007164DF" w:rsidRDefault="00BF7985" w:rsidP="007164DF">
      <w:pPr>
        <w:spacing w:line="240" w:lineRule="auto"/>
        <w:contextualSpacing/>
        <w:jc w:val="both"/>
        <w:rPr>
          <w:color w:val="auto"/>
          <w:sz w:val="22"/>
          <w:szCs w:val="22"/>
        </w:rPr>
      </w:pPr>
      <w:r>
        <w:t xml:space="preserve">Лот №1 </w:t>
      </w:r>
      <w:r w:rsidR="007164DF" w:rsidRPr="007164DF">
        <w:rPr>
          <w:color w:val="auto"/>
          <w:sz w:val="22"/>
          <w:szCs w:val="22"/>
        </w:rPr>
        <w:t>Автомобиль Форд Фокус, год выпуска 2011, идентификационный номер X9FKXXEEBP56564, двигатель PNDA ВР 56564, кузов X9FKXXEEBP56564, цвет темно-синий, с начальной стоимостью 1 337 000,00 руб. (один миллион триста тридцать семь тысяч) руб., обремененного залогом АО «Россельхозбанк».</w:t>
      </w:r>
    </w:p>
    <w:p w:rsidR="008724D1" w:rsidRDefault="00BF7985" w:rsidP="007164DF">
      <w:pPr>
        <w:spacing w:line="240" w:lineRule="auto"/>
        <w:contextualSpacing/>
        <w:jc w:val="both"/>
      </w:pPr>
      <w:r>
        <w:rPr>
          <w:rFonts w:eastAsia="Times New Roman"/>
          <w:lang w:eastAsia="ar-SA"/>
        </w:rPr>
        <w:t xml:space="preserve">1.3. Указанный задаток вносится </w:t>
      </w:r>
      <w:r>
        <w:rPr>
          <w:rFonts w:eastAsia="Times New Roman"/>
          <w:b/>
          <w:lang w:eastAsia="ar-SA"/>
        </w:rPr>
        <w:t>Претендентом</w:t>
      </w:r>
      <w:r>
        <w:rPr>
          <w:rFonts w:eastAsia="Times New Roman"/>
          <w:lang w:eastAsia="ar-SA"/>
        </w:rPr>
        <w:t xml:space="preserve"> в качестве обеспечения обязательств по участию в торгах и оплате имущества, принятых на себя Претендентом в соответствии </w:t>
      </w:r>
      <w:r>
        <w:rPr>
          <w:rFonts w:eastAsia="Times New Roman"/>
          <w:lang w:val="en-US" w:eastAsia="ar-SA"/>
        </w:rPr>
        <w:t>c</w:t>
      </w:r>
      <w:r>
        <w:rPr>
          <w:rFonts w:eastAsia="Times New Roman"/>
          <w:lang w:eastAsia="ar-SA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jc w:val="center"/>
      </w:pPr>
      <w:r>
        <w:rPr>
          <w:rFonts w:eastAsia="Times New Roman"/>
          <w:b/>
          <w:lang w:val="en-US" w:eastAsia="ar-SA"/>
        </w:rPr>
        <w:t>II</w:t>
      </w:r>
      <w:r>
        <w:rPr>
          <w:rFonts w:eastAsia="Times New Roman"/>
          <w:b/>
          <w:lang w:eastAsia="ar-SA"/>
        </w:rPr>
        <w:t>. Порядок внесения задатка</w:t>
      </w:r>
    </w:p>
    <w:p w:rsidR="008724D1" w:rsidRDefault="008724D1">
      <w:pPr>
        <w:spacing w:after="0" w:line="240" w:lineRule="auto"/>
        <w:jc w:val="center"/>
        <w:rPr>
          <w:rFonts w:eastAsia="Times New Roman"/>
          <w:lang w:eastAsia="ar-SA"/>
        </w:rPr>
      </w:pP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t xml:space="preserve">2.1. Задаток в сумме </w:t>
      </w:r>
      <w:r w:rsidR="007164DF" w:rsidRPr="007164DF">
        <w:rPr>
          <w:rFonts w:eastAsia="Times New Roman"/>
          <w:b/>
          <w:color w:val="000000"/>
          <w:lang w:eastAsia="ar-SA"/>
        </w:rPr>
        <w:t xml:space="preserve">133 700,00 (сто тридцать три тысячи семьсот)  рублей 00 копеек </w:t>
      </w:r>
      <w:r>
        <w:rPr>
          <w:rFonts w:eastAsia="Times New Roman"/>
          <w:lang w:eastAsia="ar-SA"/>
        </w:rPr>
        <w:t xml:space="preserve">должен быть внесен </w:t>
      </w:r>
      <w:r>
        <w:rPr>
          <w:rFonts w:eastAsia="Times New Roman"/>
          <w:b/>
          <w:lang w:eastAsia="ar-SA"/>
        </w:rPr>
        <w:t>Претендентом</w:t>
      </w:r>
      <w:r>
        <w:rPr>
          <w:rFonts w:eastAsia="Times New Roman"/>
          <w:lang w:eastAsia="ar-SA"/>
        </w:rPr>
        <w:t xml:space="preserve"> на указанный в объявлении счет, не позднее </w:t>
      </w:r>
      <w:r>
        <w:rPr>
          <w:rFonts w:eastAsia="Times New Roman"/>
          <w:color w:val="000000"/>
          <w:lang w:eastAsia="ar-SA"/>
        </w:rPr>
        <w:t>даты подачи заявки на участие в торгах</w:t>
      </w:r>
      <w:r>
        <w:rPr>
          <w:rFonts w:eastAsia="Times New Roman"/>
          <w:lang w:eastAsia="ar-SA"/>
        </w:rPr>
        <w:t xml:space="preserve">, и считается внесенным с даты поступления всей суммы задатка на расчетный счет Организатора торгов. В случае не поступления суммы задатка в установленный срок обязательства </w:t>
      </w:r>
      <w:r>
        <w:rPr>
          <w:rFonts w:eastAsia="Times New Roman"/>
          <w:b/>
          <w:lang w:eastAsia="ar-SA"/>
        </w:rPr>
        <w:t>Претендента</w:t>
      </w:r>
      <w:r>
        <w:rPr>
          <w:rFonts w:eastAsia="Times New Roman"/>
          <w:lang w:eastAsia="ar-SA"/>
        </w:rPr>
        <w:t xml:space="preserve"> по внесению задатка считаются не выполненными. В этом случае Претендент к участию в торгах не допускается.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Документом, подтверждающим внесение или невнесение Претендентом задатка, являются выписки из расчетных счетов. Доказательства внесения задатка должны быть представлены </w:t>
      </w:r>
      <w:r>
        <w:rPr>
          <w:rFonts w:eastAsia="Times New Roman"/>
          <w:lang w:eastAsia="ar-SA"/>
        </w:rPr>
        <w:lastRenderedPageBreak/>
        <w:t>Организатором торгов в комиссию по проведению торгов до начала подведения итогов приема и регистрации заявок.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2.3. Организатор торгов обязуется возвратить сумму задатка, внесенного Претендентом в установленных настоящим Договором случаях в соответствии со статьей 3 настоящего Договора.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2.4. Возврат задатка в соответствии со статьёй 3 настоящего Договора осуществляется на расчетный счет Претендента, указанный претендентом в разделе 5 </w:t>
      </w: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jc w:val="center"/>
      </w:pPr>
      <w:r>
        <w:rPr>
          <w:rFonts w:eastAsia="Times New Roman"/>
          <w:b/>
          <w:lang w:val="en-US" w:eastAsia="ar-SA"/>
        </w:rPr>
        <w:t>III</w:t>
      </w:r>
      <w:r>
        <w:rPr>
          <w:rFonts w:eastAsia="Times New Roman"/>
          <w:b/>
          <w:lang w:eastAsia="ar-SA"/>
        </w:rPr>
        <w:t>. Порядок возврата и удержания задатка</w:t>
      </w:r>
    </w:p>
    <w:p w:rsidR="008724D1" w:rsidRDefault="008724D1">
      <w:pPr>
        <w:spacing w:after="0" w:line="240" w:lineRule="auto"/>
        <w:jc w:val="center"/>
        <w:rPr>
          <w:rFonts w:eastAsia="Times New Roman"/>
          <w:lang w:eastAsia="ar-SA"/>
        </w:rPr>
      </w:pP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Претендент обязан незамедлительно информировать Организатора торгов об изменении своих банковских реквизитов. Организатор аукциона не отвечает за нарушение установленных настоящим договорам сроков возврата задатка в случае, если Претендент своевременно не информировал Организатора аукциона об изменении своих банковских реквизитов.</w:t>
      </w:r>
    </w:p>
    <w:p w:rsidR="008724D1" w:rsidRDefault="00BF7985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3.2. В случае, если Претендент не будет допущен к участию в аукционе, Организатор торгов обязуется возвратить сумму внесенного Претендентом задатка в течение 3 (трех) банковских дней с даты оформления Комиссией по проведению аукциона Протокола об определении участников торгов и окончании приема и регистрации заявок на участие в аукционе.</w:t>
      </w:r>
    </w:p>
    <w:p w:rsidR="008724D1" w:rsidRDefault="00BF7985">
      <w:pPr>
        <w:spacing w:after="0" w:line="240" w:lineRule="auto"/>
        <w:jc w:val="both"/>
      </w:pPr>
      <w:r>
        <w:rPr>
          <w:rFonts w:eastAsia="Times New Roman"/>
          <w:lang w:eastAsia="ar-SA"/>
        </w:rPr>
        <w:t xml:space="preserve">3.3. </w:t>
      </w:r>
      <w:r>
        <w:rPr>
          <w:rFonts w:eastAsia="Times New Roman"/>
          <w:color w:val="000000"/>
          <w:lang w:eastAsia="ar-SA"/>
        </w:rPr>
        <w:t>В случае если Претендент участвовал в аукционе, но не выиграл их, Организатор торгов обязуется возвратить сумму внесенного Претендентом задатка в течение 3 (трех) банковских дней со дня подписания Протокола о результатах торгов, проводимых в форме открытого аукциона.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В случае если Претендент участвовал в аукционе, но не выиграл их, а победитель аукциона уклонился от подписания Протокола о результатах торгов, договора купли-продажи, не оплатил полной стоимости имущества в установленные извещением о проведении аукциона сроки, то сумма внесенного Претендентом задатка возвращается в течение 3 (трех) банковских дней со дня истечения срока, установленного для подписания Протокола о результатах торгов, проводимых в форме открытого аукциона, заключения договора купли-продажи, оплаты полной стоимости имущества.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3.4. В случае отзыва Претендентом заявки на участие в аукционе до момента приобретения им статуса участника аукциона Организатор аукциона обязуется возвратить сумму внесенного Претендентом задатка в течение 5 (пяти) банковских дней со дня поступления организатору аукциона от Претендента уведомления об отзыве заявки. 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3.5. В случае признания аукциона несостоявшимся, Организатор аукциона обязуется возвратить сумму внесенного Претендентом задатка в течение 3 (трех) банковских дней со дня принятия комиссией по проведению аукциона решения об объявлении аукциона несостоявшимся.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3.6. В случае отмены аукциона Организатор аукциона возвращает сумму внесенного Претендентом задатка в течение 3 (трех) банковских дней со дня принятия решения об отмене торгов.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3.7. Внесенный задаток не возвращается в случае, если Претендент, признанный победителем аукциона: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уклонится от подписания Протокола о результатах торгов, проводимых в форме открытого аукциона, в установленный срок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уклонится от заключения договора купли - продажи имущества, в срок установленный сообщением о проведении торгов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уклонится от оплаты полной стоимости имущества в срок, установленный сообщением о проведении торгов;</w:t>
      </w:r>
    </w:p>
    <w:p w:rsidR="008724D1" w:rsidRDefault="00BF798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отзовет заявку на участие в аукционе после приобретения им статуса участника аукциона;</w:t>
      </w:r>
    </w:p>
    <w:p w:rsidR="008724D1" w:rsidRDefault="00BF7985">
      <w:pPr>
        <w:shd w:val="clear" w:color="auto" w:fill="FFFFFF"/>
        <w:spacing w:after="0" w:line="240" w:lineRule="auto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не примет участия в аукционе.</w:t>
      </w:r>
    </w:p>
    <w:p w:rsidR="008724D1" w:rsidRDefault="00BF7985">
      <w:pPr>
        <w:shd w:val="clear" w:color="auto" w:fill="FFFFFF"/>
        <w:tabs>
          <w:tab w:val="left" w:pos="1033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lastRenderedPageBreak/>
        <w:t>3.8. Внесенный Претендентом Задаток, в случае признания его победителем торгов, засчитывается в счет оплаты приобретаемого на аукционе Имущества.</w:t>
      </w:r>
    </w:p>
    <w:p w:rsidR="008724D1" w:rsidRDefault="008724D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ar-SA"/>
        </w:rPr>
      </w:pPr>
    </w:p>
    <w:p w:rsidR="008724D1" w:rsidRDefault="00BF7985">
      <w:pPr>
        <w:shd w:val="clear" w:color="auto" w:fill="FFFFFF"/>
        <w:spacing w:after="0" w:line="240" w:lineRule="auto"/>
        <w:jc w:val="center"/>
      </w:pPr>
      <w:r>
        <w:rPr>
          <w:rFonts w:eastAsia="Times New Roman"/>
          <w:b/>
          <w:color w:val="000000"/>
          <w:lang w:val="en-US" w:eastAsia="ar-SA"/>
        </w:rPr>
        <w:t>IV</w:t>
      </w:r>
      <w:r>
        <w:rPr>
          <w:rFonts w:eastAsia="Times New Roman"/>
          <w:b/>
          <w:color w:val="000000"/>
          <w:lang w:eastAsia="ar-SA"/>
        </w:rPr>
        <w:t>. Срок действия настоящего договора</w:t>
      </w:r>
    </w:p>
    <w:p w:rsidR="008724D1" w:rsidRDefault="008724D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ar-SA"/>
        </w:rPr>
      </w:pP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судебном порядке в соответствии с действующим законодательством Российской Федерации.</w:t>
      </w:r>
    </w:p>
    <w:p w:rsidR="008724D1" w:rsidRDefault="00BF7985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724D1" w:rsidRDefault="008724D1">
      <w:pPr>
        <w:widowControl w:val="0"/>
        <w:shd w:val="clear" w:color="auto" w:fill="FFFFFF"/>
        <w:tabs>
          <w:tab w:val="left" w:pos="1012"/>
        </w:tabs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8724D1" w:rsidRDefault="00BF7985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val="en-US" w:eastAsia="ar-SA"/>
        </w:rPr>
        <w:t>V</w:t>
      </w:r>
      <w:r>
        <w:rPr>
          <w:rFonts w:eastAsia="Times New Roman"/>
          <w:b/>
          <w:lang w:eastAsia="ar-SA"/>
        </w:rPr>
        <w:t>. Местонахождение и банковские реквизиты сторон</w:t>
      </w:r>
    </w:p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5183"/>
        <w:gridCol w:w="4990"/>
      </w:tblGrid>
      <w:tr w:rsidR="008724D1">
        <w:tc>
          <w:tcPr>
            <w:tcW w:w="5182" w:type="dxa"/>
          </w:tcPr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Организатор торгов: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ab/>
            </w:r>
          </w:p>
          <w:p w:rsidR="008724D1" w:rsidRDefault="008724D1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7164DF" w:rsidRP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>Финансовый управляющий Хакимовой Н.В.</w:t>
            </w:r>
          </w:p>
          <w:p w:rsidR="007164DF" w:rsidRP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>Родин Олег Владимирович</w:t>
            </w:r>
          </w:p>
          <w:p w:rsidR="007164DF" w:rsidRP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 xml:space="preserve">ЧЕЛЯБИНСКОЕ ОТДЕЛЕНИЕ N8597 ПАО СБЕРБАНК, 454014, Челябинская обл., г. Челябинск, пр-т Комсомольский, 70 В, р/с 40817810072001715369; </w:t>
            </w:r>
          </w:p>
          <w:p w:rsidR="008724D1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 w:rsidRPr="007164DF">
              <w:rPr>
                <w:rFonts w:eastAsia="Times New Roman"/>
                <w:sz w:val="20"/>
                <w:szCs w:val="20"/>
                <w:lang w:eastAsia="ar-SA"/>
              </w:rPr>
              <w:t>ИНН Банка получателя: 7707083893; к/с 30101810700000000602; КПП: 745302001; БИК: 047501602; получатель: Хакимова Надежда Васильевна</w:t>
            </w:r>
          </w:p>
          <w:p w:rsidR="007164DF" w:rsidRDefault="007164DF" w:rsidP="007164DF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Финансовый управляющий</w:t>
            </w:r>
          </w:p>
          <w:p w:rsidR="008724D1" w:rsidRDefault="008724D1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8724D1" w:rsidRDefault="00BF7985">
            <w:pPr>
              <w:spacing w:after="0" w:line="240" w:lineRule="auto"/>
              <w:ind w:firstLine="0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_____________________________________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О.В. Родин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             М.П.</w:t>
            </w:r>
          </w:p>
          <w:p w:rsidR="008724D1" w:rsidRDefault="008724D1">
            <w:pPr>
              <w:spacing w:after="0" w:line="240" w:lineRule="auto"/>
              <w:ind w:firstLine="0"/>
              <w:rPr>
                <w:rFonts w:eastAsia="Courier New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90" w:type="dxa"/>
          </w:tcPr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Претендент: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  <w:p w:rsidR="008724D1" w:rsidRDefault="00BF7985">
            <w:pPr>
              <w:spacing w:after="0" w:line="240" w:lineRule="auto"/>
              <w:ind w:firstLine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______________________________________</w:t>
            </w:r>
          </w:p>
        </w:tc>
      </w:tr>
    </w:tbl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340"/>
        <w:jc w:val="center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340"/>
        <w:jc w:val="center"/>
      </w:pPr>
    </w:p>
    <w:p w:rsidR="008724D1" w:rsidRDefault="00BF7985">
      <w:pPr>
        <w:spacing w:after="0" w:line="240" w:lineRule="auto"/>
        <w:ind w:firstLine="340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</w:p>
    <w:p w:rsidR="008724D1" w:rsidRDefault="008724D1">
      <w:pPr>
        <w:spacing w:after="0" w:line="240" w:lineRule="auto"/>
        <w:ind w:firstLine="340"/>
        <w:jc w:val="both"/>
        <w:rPr>
          <w:rFonts w:eastAsia="Times New Roman"/>
          <w:b/>
          <w:lang w:eastAsia="ar-SA"/>
        </w:rPr>
      </w:pPr>
    </w:p>
    <w:p w:rsidR="008724D1" w:rsidRDefault="008724D1">
      <w:pPr>
        <w:spacing w:after="0" w:line="240" w:lineRule="auto"/>
        <w:ind w:firstLine="0"/>
        <w:rPr>
          <w:rFonts w:eastAsia="Times New Roman"/>
          <w:lang w:eastAsia="ar-SA"/>
        </w:rPr>
      </w:pPr>
    </w:p>
    <w:p w:rsidR="008724D1" w:rsidRDefault="008724D1"/>
    <w:sectPr w:rsidR="008724D1">
      <w:footerReference w:type="default" r:id="rId9"/>
      <w:pgSz w:w="11906" w:h="16838"/>
      <w:pgMar w:top="624" w:right="624" w:bottom="736" w:left="1134" w:header="0" w:footer="67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0B" w:rsidRDefault="008A580B">
      <w:pPr>
        <w:spacing w:after="0" w:line="240" w:lineRule="auto"/>
      </w:pPr>
      <w:r>
        <w:separator/>
      </w:r>
    </w:p>
  </w:endnote>
  <w:endnote w:type="continuationSeparator" w:id="0">
    <w:p w:rsidR="008A580B" w:rsidRDefault="008A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D1" w:rsidRDefault="00BF7985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472C89D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7145" cy="243205"/>
              <wp:effectExtent l="0" t="0" r="0" b="0"/>
              <wp:wrapTopAndBottom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6640" cy="24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24D1" w:rsidRDefault="00BF7985">
                          <w:pPr>
                            <w:pStyle w:val="ab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a4"/>
                              <w:color w:val="auto"/>
                              <w:sz w:val="14"/>
                              <w:szCs w:val="14"/>
                            </w:rPr>
                            <w:t xml:space="preserve">Стр.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>PAGE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164DF">
                            <w:rPr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C89D5" id="Врезка1" o:spid="_x0000_s1026" style="position:absolute;left:0;text-align:left;margin-left:50.15pt;margin-top:.05pt;width:101.35pt;height:19.1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" filled="f" stroked="f">
              <v:textbox inset="0,0,0,0">
                <w:txbxContent>
                  <w:p w:rsidR="008724D1" w:rsidRDefault="00BF7985">
                    <w:pPr>
                      <w:pStyle w:val="ab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a4"/>
                        <w:color w:val="auto"/>
                        <w:sz w:val="14"/>
                        <w:szCs w:val="14"/>
                      </w:rPr>
                      <w:t xml:space="preserve">Стр.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>PAGE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="007164DF">
                      <w:rPr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0B" w:rsidRDefault="008A580B">
      <w:pPr>
        <w:spacing w:after="0" w:line="240" w:lineRule="auto"/>
      </w:pPr>
      <w:r>
        <w:separator/>
      </w:r>
    </w:p>
  </w:footnote>
  <w:footnote w:type="continuationSeparator" w:id="0">
    <w:p w:rsidR="008A580B" w:rsidRDefault="008A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61B"/>
    <w:multiLevelType w:val="multilevel"/>
    <w:tmpl w:val="02827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1B6342"/>
    <w:multiLevelType w:val="multilevel"/>
    <w:tmpl w:val="2AFA0870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4D1"/>
    <w:rsid w:val="0042005B"/>
    <w:rsid w:val="005731C2"/>
    <w:rsid w:val="007164DF"/>
    <w:rsid w:val="00775963"/>
    <w:rsid w:val="008724D1"/>
    <w:rsid w:val="008A580B"/>
    <w:rsid w:val="00B02049"/>
    <w:rsid w:val="00B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3636"/>
  <w15:docId w15:val="{647E3528-2210-4F7D-94E9-FB7A7DB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</w:pPr>
    <w:rPr>
      <w:color w:val="00000A"/>
      <w:sz w:val="24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</w:style>
  <w:style w:type="character" w:styleId="a4">
    <w:name w:val="page number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Заголовок2"/>
    <w:basedOn w:val="10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0"/>
    <w:qFormat/>
  </w:style>
  <w:style w:type="paragraph" w:customStyle="1" w:styleId="af1">
    <w:name w:val="Содержимое таблицы"/>
    <w:basedOn w:val="a"/>
    <w:qFormat/>
  </w:style>
  <w:style w:type="table" w:styleId="af2">
    <w:name w:val="Table Grid"/>
    <w:basedOn w:val="a1"/>
    <w:uiPriority w:val="59"/>
    <w:rsid w:val="00B6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C5C2-3567-4EB6-8F32-80D1EFA1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1243</Words>
  <Characters>7086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Олег Олег</cp:lastModifiedBy>
  <cp:revision>32</cp:revision>
  <dcterms:created xsi:type="dcterms:W3CDTF">2018-08-20T05:38:00Z</dcterms:created>
  <dcterms:modified xsi:type="dcterms:W3CDTF">2023-08-07T16:22:00Z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