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:rsidR="00525E4F" w:rsidRPr="009B0174" w:rsidRDefault="00525E4F" w:rsidP="00525E4F">
      <w:pPr>
        <w:tabs>
          <w:tab w:val="left" w:pos="8254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B0174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1262 </w:t>
      </w:r>
      <w:r w:rsidRPr="009B0174">
        <w:rPr>
          <w:rFonts w:ascii="Times New Roman" w:hAnsi="Times New Roman" w:cs="Times New Roman"/>
          <w:sz w:val="24"/>
          <w:szCs w:val="24"/>
          <w:lang w:val="ru-RU"/>
        </w:rPr>
        <w:t>от «</w:t>
      </w:r>
      <w:r>
        <w:rPr>
          <w:rFonts w:ascii="Times New Roman" w:hAnsi="Times New Roman" w:cs="Times New Roman"/>
          <w:sz w:val="24"/>
          <w:szCs w:val="24"/>
          <w:lang w:val="ru-RU"/>
        </w:rPr>
        <w:t>06</w:t>
      </w:r>
      <w:r w:rsidRPr="009B0174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ноября </w:t>
      </w:r>
      <w:r w:rsidRPr="009B0174">
        <w:rPr>
          <w:rFonts w:ascii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9B0174"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 w:rsidR="00B8038B" w:rsidRPr="00007F86" w:rsidRDefault="00B8038B" w:rsidP="00007F86">
      <w:pPr>
        <w:tabs>
          <w:tab w:val="left" w:pos="8254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17"/>
        <w:gridCol w:w="5295"/>
      </w:tblGrid>
      <w:tr w:rsidR="007A32BB" w:rsidRPr="009E6F84" w:rsidTr="008A05B4">
        <w:tc>
          <w:tcPr>
            <w:tcW w:w="5532" w:type="dxa"/>
          </w:tcPr>
          <w:p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FD44F0">
        <w:rPr>
          <w:rFonts w:ascii="Times New Roman" w:hAnsi="Times New Roman" w:cs="Times New Roman"/>
          <w:lang w:val="ru-RU"/>
        </w:rPr>
        <w:t>генера</w:t>
      </w:r>
      <w:r w:rsidR="00FD44F0" w:rsidRPr="00D95B0A">
        <w:rPr>
          <w:rFonts w:ascii="Times New Roman" w:hAnsi="Times New Roman" w:cs="Times New Roman"/>
          <w:lang w:val="ru-RU"/>
        </w:rPr>
        <w:t xml:space="preserve">льного директора </w:t>
      </w:r>
      <w:r w:rsidR="00FD44F0">
        <w:rPr>
          <w:rFonts w:ascii="Times New Roman" w:hAnsi="Times New Roman" w:cs="Times New Roman"/>
          <w:lang w:val="ru-RU"/>
        </w:rPr>
        <w:t>Игошина Алексея Валерьевича</w:t>
      </w:r>
      <w:r w:rsidRPr="009E6F84">
        <w:rPr>
          <w:rFonts w:ascii="Times New Roman" w:hAnsi="Times New Roman" w:cs="Times New Roman"/>
          <w:lang w:val="ru-RU"/>
        </w:rPr>
        <w:t>, действующей на осно</w:t>
      </w:r>
      <w:r w:rsidR="00DA3184">
        <w:rPr>
          <w:rFonts w:ascii="Times New Roman" w:hAnsi="Times New Roman" w:cs="Times New Roman"/>
          <w:lang w:val="ru-RU"/>
        </w:rPr>
        <w:t xml:space="preserve">вании </w:t>
      </w:r>
      <w:r w:rsidR="00FD44F0">
        <w:rPr>
          <w:rFonts w:ascii="Times New Roman" w:hAnsi="Times New Roman" w:cs="Times New Roman"/>
          <w:lang w:val="ru-RU"/>
        </w:rPr>
        <w:t>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</w:t>
      </w:r>
    </w:p>
    <w:p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>__________________________________________ в лице ________________________</w:t>
      </w:r>
      <w:proofErr w:type="gramStart"/>
      <w:r w:rsidRPr="009E6F84">
        <w:rPr>
          <w:rFonts w:ascii="Times New Roman" w:hAnsi="Times New Roman" w:cs="Times New Roman"/>
          <w:lang w:val="ru-RU"/>
        </w:rPr>
        <w:t xml:space="preserve"> ,</w:t>
      </w:r>
      <w:proofErr w:type="gramEnd"/>
      <w:r w:rsidRPr="009E6F84">
        <w:rPr>
          <w:rFonts w:ascii="Times New Roman" w:hAnsi="Times New Roman" w:cs="Times New Roman"/>
          <w:lang w:val="ru-RU"/>
        </w:rPr>
        <w:t xml:space="preserve">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Лота № _________</w:t>
      </w:r>
      <w:proofErr w:type="gramStart"/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,</w:t>
      </w:r>
      <w:proofErr w:type="gramEnd"/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:rsidR="00C361E0" w:rsidRPr="009E6F84" w:rsidRDefault="00C361E0" w:rsidP="00C361E0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9E6F84">
        <w:rPr>
          <w:rFonts w:ascii="Times New Roman" w:hAnsi="Times New Roman"/>
          <w:sz w:val="22"/>
          <w:szCs w:val="22"/>
          <w:lang w:val="ru-RU"/>
        </w:rPr>
        <w:t>р</w:t>
      </w:r>
      <w:proofErr w:type="gramEnd"/>
      <w:r w:rsidRPr="009E6F84">
        <w:rPr>
          <w:rFonts w:ascii="Times New Roman" w:hAnsi="Times New Roman"/>
          <w:sz w:val="22"/>
          <w:szCs w:val="22"/>
          <w:lang w:val="ru-RU"/>
        </w:rPr>
        <w:t xml:space="preserve">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C361E0" w:rsidRPr="009E6F84" w:rsidRDefault="00C361E0" w:rsidP="00C361E0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gramStart"/>
      <w:r w:rsidRPr="00D170A2">
        <w:rPr>
          <w:rFonts w:ascii="Times New Roman" w:hAnsi="Times New Roman" w:cs="Times New Roman"/>
          <w:sz w:val="22"/>
          <w:szCs w:val="22"/>
          <w:lang w:val="ru-RU"/>
        </w:rPr>
        <w:t>г</w:t>
      </w:r>
      <w:proofErr w:type="gramEnd"/>
      <w:r w:rsidRPr="00D170A2">
        <w:rPr>
          <w:rFonts w:ascii="Times New Roman" w:hAnsi="Times New Roman" w:cs="Times New Roman"/>
          <w:sz w:val="22"/>
          <w:szCs w:val="22"/>
          <w:lang w:val="ru-RU"/>
        </w:rPr>
        <w:t>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C361E0" w:rsidRDefault="00C361E0" w:rsidP="00C361E0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p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</w:t>
      </w:r>
      <w:proofErr w:type="gramStart"/>
      <w:r w:rsidRPr="009E6F84">
        <w:rPr>
          <w:rFonts w:ascii="Times New Roman" w:hAnsi="Times New Roman" w:cs="Times New Roman"/>
          <w:sz w:val="22"/>
          <w:szCs w:val="22"/>
          <w:lang w:val="ru-RU"/>
        </w:rPr>
        <w:t>ии у О</w:t>
      </w:r>
      <w:proofErr w:type="gramEnd"/>
      <w:r w:rsidRPr="009E6F84">
        <w:rPr>
          <w:rFonts w:ascii="Times New Roman" w:hAnsi="Times New Roman" w:cs="Times New Roman"/>
          <w:sz w:val="22"/>
          <w:szCs w:val="22"/>
          <w:lang w:val="ru-RU"/>
        </w:rPr>
        <w:t>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:rsidR="00007F86" w:rsidRPr="009E6F84" w:rsidRDefault="00007F86" w:rsidP="00007F86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:rsidR="00007F86" w:rsidRPr="009E6F84" w:rsidRDefault="00007F86" w:rsidP="00007F86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:rsidR="00007F86" w:rsidRPr="009E6F84" w:rsidRDefault="00007F86" w:rsidP="00007F8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:rsidR="00007F86" w:rsidRPr="009E6F84" w:rsidRDefault="00007F86" w:rsidP="00007F8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:rsidR="00007F86" w:rsidRDefault="00007F86" w:rsidP="00007F86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Заявителю, проценты за время нахождения денежных сре</w:t>
      </w:r>
      <w:proofErr w:type="gramStart"/>
      <w:r w:rsidRPr="009E6F84">
        <w:rPr>
          <w:rFonts w:ascii="Times New Roman" w:hAnsi="Times New Roman" w:cs="Times New Roman"/>
          <w:lang w:val="ru-RU"/>
        </w:rPr>
        <w:t>дств в к</w:t>
      </w:r>
      <w:proofErr w:type="gramEnd"/>
      <w:r w:rsidRPr="009E6F84">
        <w:rPr>
          <w:rFonts w:ascii="Times New Roman" w:hAnsi="Times New Roman" w:cs="Times New Roman"/>
          <w:lang w:val="ru-RU"/>
        </w:rPr>
        <w:t xml:space="preserve">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:rsidR="00007F86" w:rsidRDefault="00007F8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:rsidR="00007F86" w:rsidRPr="009E6F84" w:rsidRDefault="00007F8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:rsidR="00007F86" w:rsidRDefault="00007F86" w:rsidP="00007F86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:rsidR="00007F86" w:rsidRPr="00F20676" w:rsidRDefault="00007F86" w:rsidP="00007F8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признания торгов </w:t>
      </w:r>
      <w:proofErr w:type="gramStart"/>
      <w:r w:rsidRPr="009E6F84">
        <w:rPr>
          <w:rFonts w:ascii="Times New Roman" w:hAnsi="Times New Roman" w:cs="Times New Roman"/>
          <w:lang w:val="ru-RU"/>
        </w:rPr>
        <w:t>не</w:t>
      </w:r>
      <w:r>
        <w:rPr>
          <w:rFonts w:ascii="Times New Roman" w:hAnsi="Times New Roman" w:cs="Times New Roman"/>
          <w:lang w:val="ru-RU"/>
        </w:rPr>
        <w:t>состоявшимися</w:t>
      </w:r>
      <w:proofErr w:type="gramEnd"/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:rsidR="00007F86" w:rsidRPr="009E6F84" w:rsidRDefault="00007F86" w:rsidP="00007F86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:rsidR="00007F86" w:rsidRPr="009E6F84" w:rsidRDefault="00007F86" w:rsidP="00007F86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:rsidR="00007F86" w:rsidRPr="009E6F84" w:rsidRDefault="00007F86" w:rsidP="00007F86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proofErr w:type="gramStart"/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  <w:proofErr w:type="gramEnd"/>
    </w:p>
    <w:p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</w:t>
      </w:r>
      <w:proofErr w:type="gramStart"/>
      <w:r w:rsidRPr="009E6F84">
        <w:rPr>
          <w:rFonts w:ascii="Times New Roman" w:hAnsi="Times New Roman" w:cs="Times New Roman"/>
          <w:lang w:val="ru-RU"/>
        </w:rPr>
        <w:t>сообщении</w:t>
      </w:r>
      <w:proofErr w:type="gramEnd"/>
      <w:r w:rsidRPr="009E6F84">
        <w:rPr>
          <w:rFonts w:ascii="Times New Roman" w:hAnsi="Times New Roman" w:cs="Times New Roman"/>
          <w:lang w:val="ru-RU"/>
        </w:rPr>
        <w:t xml:space="preserve">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proofErr w:type="gramStart"/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>152-ФЗ, а также на передачу такой информации третьим лицам, в случаях, не противоречащих</w:t>
      </w:r>
      <w:proofErr w:type="gramEnd"/>
      <w:r w:rsidRPr="009E6F84">
        <w:rPr>
          <w:rFonts w:ascii="Times New Roman" w:hAnsi="Times New Roman" w:cs="Times New Roman"/>
          <w:lang w:val="ru-RU"/>
        </w:rPr>
        <w:t xml:space="preserve">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</w:t>
      </w:r>
      <w:proofErr w:type="gramStart"/>
      <w:r w:rsidRPr="009E6F84">
        <w:rPr>
          <w:rFonts w:ascii="Times New Roman" w:hAnsi="Times New Roman" w:cs="Times New Roman"/>
          <w:lang w:val="ru-RU"/>
        </w:rPr>
        <w:t xml:space="preserve">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  <w:proofErr w:type="gramEnd"/>
    </w:p>
    <w:p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3"/>
        <w:gridCol w:w="5424"/>
      </w:tblGrid>
      <w:tr w:rsidR="009E6F84" w:rsidRPr="00636F93" w:rsidTr="008F1535">
        <w:tc>
          <w:tcPr>
            <w:tcW w:w="5423" w:type="dxa"/>
          </w:tcPr>
          <w:p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</w:t>
            </w:r>
            <w:proofErr w:type="gram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.Е</w:t>
            </w:r>
            <w:proofErr w:type="gram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катеринбург,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катеринбург,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Счет для задатков: </w:t>
            </w:r>
          </w:p>
          <w:p w:rsidR="00C361E0" w:rsidRPr="00B50AC4" w:rsidRDefault="00C8215D" w:rsidP="00C361E0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C361E0"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="00C361E0"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:rsidR="00C361E0" w:rsidRDefault="00C361E0" w:rsidP="00C361E0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:rsidR="00C361E0" w:rsidRPr="00B50AC4" w:rsidRDefault="00C361E0" w:rsidP="00C361E0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:rsidR="00C361E0" w:rsidRDefault="00C361E0" w:rsidP="00C361E0">
            <w:pPr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   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6F84" w:rsidRPr="009E6F84" w:rsidRDefault="00FD44F0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льный </w:t>
            </w:r>
            <w:r w:rsidR="009E6F84"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директор</w:t>
            </w:r>
          </w:p>
          <w:p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FD44F0"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</w:t>
            </w:r>
            <w:proofErr w:type="gramStart"/>
            <w:r w:rsidRPr="009E6F84">
              <w:rPr>
                <w:rFonts w:ascii="Times New Roman" w:hAnsi="Times New Roman" w:cs="Times New Roman"/>
                <w:b/>
                <w:lang w:val="ru-RU"/>
              </w:rPr>
              <w:t>.Л</w:t>
            </w:r>
            <w:proofErr w:type="gramEnd"/>
            <w:r w:rsidRPr="009E6F84">
              <w:rPr>
                <w:rFonts w:ascii="Times New Roman" w:hAnsi="Times New Roman" w:cs="Times New Roman"/>
                <w:b/>
                <w:lang w:val="ru-RU"/>
              </w:rPr>
              <w:t>ИЦА и ИП:</w:t>
            </w:r>
          </w:p>
          <w:p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:rsidR="009E6F84" w:rsidRPr="009E6F84" w:rsidRDefault="004B16C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</w:r>
            <w:r w:rsidRPr="004B16C4">
              <w:rPr>
                <w:rFonts w:ascii="Times New Roman" w:hAnsi="Times New Roman" w:cs="Times New Roman"/>
                <w:noProof/>
                <w:lang w:val="ru-RU" w:eastAsia="ru-RU"/>
              </w:rPr>
              <w:pict>
                <v:group 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<v:line id="Line 5" o:spid="_x0000_s1027" style="position:absolute;visibility:visibl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<w10:wrap type="none"/>
                  <w10:anchorlock/>
                </v:group>
              </w:pict>
            </w:r>
          </w:p>
          <w:p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:rsidR="00594342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р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>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E6F84" w:rsidRPr="00147D42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147D42">
              <w:rPr>
                <w:rFonts w:ascii="Times New Roman" w:hAnsi="Times New Roman" w:cs="Times New Roman"/>
                <w:b/>
                <w:lang w:val="ru-RU"/>
              </w:rPr>
              <w:t xml:space="preserve">БИК </w:t>
            </w:r>
            <w:r w:rsidRPr="00147D42">
              <w:rPr>
                <w:rFonts w:ascii="Times New Roman" w:hAnsi="Times New Roman" w:cs="Times New Roman"/>
                <w:b/>
                <w:u w:val="single"/>
                <w:lang w:val="ru-RU"/>
              </w:rPr>
              <w:tab/>
            </w:r>
          </w:p>
          <w:p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</w:t>
            </w:r>
            <w:proofErr w:type="gramStart"/>
            <w:r w:rsidRPr="009E6F84">
              <w:rPr>
                <w:rFonts w:ascii="Times New Roman" w:hAnsi="Times New Roman" w:cs="Times New Roman"/>
                <w:b/>
                <w:lang w:val="ru-RU"/>
              </w:rPr>
              <w:t>.Л</w:t>
            </w:r>
            <w:proofErr w:type="gramEnd"/>
            <w:r w:rsidRPr="009E6F84">
              <w:rPr>
                <w:rFonts w:ascii="Times New Roman" w:hAnsi="Times New Roman" w:cs="Times New Roman"/>
                <w:b/>
                <w:lang w:val="ru-RU"/>
              </w:rPr>
              <w:t>ИЦА:</w:t>
            </w:r>
          </w:p>
          <w:p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:rsidR="009E6F84" w:rsidRPr="009E6F84" w:rsidRDefault="004B16C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</w:r>
            <w:r w:rsidRPr="004B16C4">
              <w:rPr>
                <w:rFonts w:ascii="Times New Roman" w:hAnsi="Times New Roman" w:cs="Times New Roman"/>
                <w:noProof/>
                <w:lang w:val="ru-RU" w:eastAsia="ru-RU"/>
              </w:rPr>
              <w:pict>
                <v:group id="Group 4" o:spid="_x0000_s1028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<v:line id="Line 5" o:spid="_x0000_s1029" style="position:absolute;visibility:visibl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<w10:wrap type="none"/>
                  <w10:anchorlock/>
                </v:group>
              </w:pict>
            </w:r>
          </w:p>
          <w:p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.л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>ица / ИП)</w:t>
            </w:r>
          </w:p>
          <w:p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:rsidR="00594342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р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>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:rsidR="00594342" w:rsidRPr="00594342" w:rsidRDefault="00594342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47D4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БИК: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____________________________________</w:t>
            </w:r>
          </w:p>
        </w:tc>
      </w:tr>
      <w:tr w:rsidR="009E6F84" w:rsidRPr="003659BB" w:rsidTr="008F1535">
        <w:trPr>
          <w:trHeight w:val="4671"/>
        </w:trPr>
        <w:tc>
          <w:tcPr>
            <w:tcW w:w="5423" w:type="dxa"/>
          </w:tcPr>
          <w:p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:rsidR="009E6F84" w:rsidRPr="009E6F84" w:rsidRDefault="003659BB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</w:t>
            </w:r>
            <w:r w:rsidR="003952E4">
              <w:rPr>
                <w:rFonts w:ascii="Times New Roman" w:hAnsi="Times New Roman" w:cs="Times New Roman"/>
                <w:b/>
                <w:lang w:val="ru-RU"/>
              </w:rPr>
              <w:t>ый управляющий</w:t>
            </w:r>
          </w:p>
          <w:p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3659BB">
              <w:rPr>
                <w:rFonts w:ascii="Times New Roman" w:hAnsi="Times New Roman" w:cs="Times New Roman"/>
                <w:lang w:val="ru-RU"/>
              </w:rPr>
              <w:t>С.Г. Минаков</w:t>
            </w:r>
          </w:p>
          <w:p w:rsidR="009E6F84" w:rsidRPr="007F2A70" w:rsidRDefault="003659BB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</w:t>
            </w:r>
          </w:p>
          <w:p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D3A" w:rsidRDefault="008F0D3A" w:rsidP="007F2A70">
      <w:r>
        <w:separator/>
      </w:r>
    </w:p>
  </w:endnote>
  <w:endnote w:type="continuationSeparator" w:id="0">
    <w:p w:rsidR="008F0D3A" w:rsidRDefault="008F0D3A" w:rsidP="007F2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6129497"/>
      <w:docPartObj>
        <w:docPartGallery w:val="Page Numbers (Bottom of Page)"/>
        <w:docPartUnique/>
      </w:docPartObj>
    </w:sdtPr>
    <w:sdtContent>
      <w:p w:rsidR="007F2A70" w:rsidRDefault="004B16C4">
        <w:pPr>
          <w:pStyle w:val="a9"/>
          <w:jc w:val="right"/>
        </w:pPr>
        <w:r>
          <w:fldChar w:fldCharType="begin"/>
        </w:r>
        <w:r w:rsidR="007F2A70">
          <w:instrText>PAGE   \* MERGEFORMAT</w:instrText>
        </w:r>
        <w:r>
          <w:fldChar w:fldCharType="separate"/>
        </w:r>
        <w:r w:rsidR="00C8215D" w:rsidRPr="00C8215D">
          <w:rPr>
            <w:noProof/>
            <w:lang w:val="ru-RU"/>
          </w:rPr>
          <w:t>3</w:t>
        </w:r>
        <w:r>
          <w:fldChar w:fldCharType="end"/>
        </w:r>
      </w:p>
    </w:sdtContent>
  </w:sdt>
  <w:p w:rsidR="007F2A70" w:rsidRDefault="007F2A7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D3A" w:rsidRDefault="008F0D3A" w:rsidP="007F2A70">
      <w:r>
        <w:separator/>
      </w:r>
    </w:p>
  </w:footnote>
  <w:footnote w:type="continuationSeparator" w:id="0">
    <w:p w:rsidR="008F0D3A" w:rsidRDefault="008F0D3A" w:rsidP="007F2A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330435"/>
    <w:rsid w:val="00007F86"/>
    <w:rsid w:val="00036664"/>
    <w:rsid w:val="00074823"/>
    <w:rsid w:val="00147D42"/>
    <w:rsid w:val="00152841"/>
    <w:rsid w:val="00162FBB"/>
    <w:rsid w:val="00175CAE"/>
    <w:rsid w:val="00194936"/>
    <w:rsid w:val="001C1346"/>
    <w:rsid w:val="001D7579"/>
    <w:rsid w:val="0020182F"/>
    <w:rsid w:val="0020603A"/>
    <w:rsid w:val="00215A8D"/>
    <w:rsid w:val="00222BCC"/>
    <w:rsid w:val="00225949"/>
    <w:rsid w:val="00233ACF"/>
    <w:rsid w:val="002B36E8"/>
    <w:rsid w:val="002C084C"/>
    <w:rsid w:val="002E5F1B"/>
    <w:rsid w:val="00313D19"/>
    <w:rsid w:val="00330435"/>
    <w:rsid w:val="003659BB"/>
    <w:rsid w:val="0038122A"/>
    <w:rsid w:val="0039464E"/>
    <w:rsid w:val="003952E4"/>
    <w:rsid w:val="00402EBA"/>
    <w:rsid w:val="0040606B"/>
    <w:rsid w:val="0047197A"/>
    <w:rsid w:val="00482736"/>
    <w:rsid w:val="00484D22"/>
    <w:rsid w:val="00491EDC"/>
    <w:rsid w:val="004A40E7"/>
    <w:rsid w:val="004A598D"/>
    <w:rsid w:val="004A75EB"/>
    <w:rsid w:val="004B16C4"/>
    <w:rsid w:val="004D40C8"/>
    <w:rsid w:val="00525E4F"/>
    <w:rsid w:val="0053485F"/>
    <w:rsid w:val="005478FA"/>
    <w:rsid w:val="00577A0B"/>
    <w:rsid w:val="00592858"/>
    <w:rsid w:val="00594342"/>
    <w:rsid w:val="005B15C0"/>
    <w:rsid w:val="005B185F"/>
    <w:rsid w:val="005B1CB2"/>
    <w:rsid w:val="0061493F"/>
    <w:rsid w:val="00614D97"/>
    <w:rsid w:val="00636F93"/>
    <w:rsid w:val="00655240"/>
    <w:rsid w:val="006609CA"/>
    <w:rsid w:val="00670096"/>
    <w:rsid w:val="006B166B"/>
    <w:rsid w:val="006F1509"/>
    <w:rsid w:val="00710255"/>
    <w:rsid w:val="007537C3"/>
    <w:rsid w:val="00784215"/>
    <w:rsid w:val="007A32BB"/>
    <w:rsid w:val="007D37BB"/>
    <w:rsid w:val="007F2A70"/>
    <w:rsid w:val="008A05B4"/>
    <w:rsid w:val="008A136F"/>
    <w:rsid w:val="008B2663"/>
    <w:rsid w:val="008F0D3A"/>
    <w:rsid w:val="008F1535"/>
    <w:rsid w:val="009028EE"/>
    <w:rsid w:val="00917606"/>
    <w:rsid w:val="00930EB9"/>
    <w:rsid w:val="009359A0"/>
    <w:rsid w:val="0096151B"/>
    <w:rsid w:val="009635FB"/>
    <w:rsid w:val="009C3F5C"/>
    <w:rsid w:val="009E6F84"/>
    <w:rsid w:val="00A00392"/>
    <w:rsid w:val="00A32E77"/>
    <w:rsid w:val="00A46A6F"/>
    <w:rsid w:val="00AD1B9D"/>
    <w:rsid w:val="00AF78DC"/>
    <w:rsid w:val="00B132B5"/>
    <w:rsid w:val="00B41531"/>
    <w:rsid w:val="00B8038B"/>
    <w:rsid w:val="00BB7CC0"/>
    <w:rsid w:val="00BE1851"/>
    <w:rsid w:val="00C250B0"/>
    <w:rsid w:val="00C2719B"/>
    <w:rsid w:val="00C361E0"/>
    <w:rsid w:val="00C46336"/>
    <w:rsid w:val="00C724BD"/>
    <w:rsid w:val="00C74A44"/>
    <w:rsid w:val="00C8215D"/>
    <w:rsid w:val="00CA0EE2"/>
    <w:rsid w:val="00CF0C88"/>
    <w:rsid w:val="00CF165F"/>
    <w:rsid w:val="00D167E0"/>
    <w:rsid w:val="00D4792C"/>
    <w:rsid w:val="00D52D4D"/>
    <w:rsid w:val="00D54FE3"/>
    <w:rsid w:val="00D7061A"/>
    <w:rsid w:val="00D776D8"/>
    <w:rsid w:val="00DA3184"/>
    <w:rsid w:val="00DC18BB"/>
    <w:rsid w:val="00E17772"/>
    <w:rsid w:val="00EB2A67"/>
    <w:rsid w:val="00EB47AA"/>
    <w:rsid w:val="00EC266C"/>
    <w:rsid w:val="00F45CB1"/>
    <w:rsid w:val="00F52C9B"/>
    <w:rsid w:val="00F53180"/>
    <w:rsid w:val="00F57F85"/>
    <w:rsid w:val="00F6096F"/>
    <w:rsid w:val="00F8451E"/>
    <w:rsid w:val="00FD44F0"/>
    <w:rsid w:val="00FF3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222BC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B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Сергей Минаков</cp:lastModifiedBy>
  <cp:revision>61</cp:revision>
  <cp:lastPrinted>2018-12-05T08:20:00Z</cp:lastPrinted>
  <dcterms:created xsi:type="dcterms:W3CDTF">2017-06-01T08:24:00Z</dcterms:created>
  <dcterms:modified xsi:type="dcterms:W3CDTF">2024-11-07T04:51:00Z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