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smdcp" ContentType="application/vnd.openxmlformats-package.core-properties+xml"/>
  <Override PartName="/word/footer.xml" ContentType="application/vnd.openxmlformats-officedocument.wordprocessingml.footer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5fe82c3bd48e2" /><Relationship Type="http://schemas.openxmlformats.org/officeDocument/2006/relationships/extended-properties" Target="/docProps/app.xml" Id="rId2" /><Relationship Type="http://schemas.openxmlformats.org/package/2006/relationships/metadata/core-properties" Target="/package/services/metadata/core-properties/736677f2b4af4748bf9ac1f384323e0d.psmdcp" Id="Rd15c8993b0ab4309" /></Relationships>
</file>

<file path=word/document.xml><?xml version="1.0" encoding="utf-8"?>
<w:document xmlns:w="http://schemas.openxmlformats.org/wordprocessingml/2006/main">
  <w:body>
    <w:p>
      <w:pPr>
        <w:keepNext/>
        <w:keepLines/>
        <w:spacing w:before="120" w:after="120" w:line="240" w:lineRule="auto"/>
        <w:jc w:val="center"/>
      </w:pPr>
      <w:r>
        <w:rPr>
          <w:rStyle w:val="MainTitle"/>
        </w:rPr>
        <w:t xml:space="preserve">ООО "СПЕКТР-Е"</w:t>
      </w:r>
    </w:p>
    <w:p>
      <w:pPr>
        <w:keepNext/>
        <w:keepLines/>
        <w:spacing w:before="120" w:after="500" w:line="240" w:lineRule="auto"/>
        <w:jc w:val="center"/>
      </w:pPr>
      <w:r>
        <w:rPr>
          <w:rStyle w:val="MainTitleDate"/>
        </w:rPr>
        <w:t xml:space="preserve">9 июля 2025 года</w:t>
      </w:r>
    </w:p>
    <w:tbl>
      <w:tblPr>
        <w:tblStyle w:val="NoBorder"/>
        <w:tblW w:w="10490" w:type="dxa"/>
        <w:tblLayout w:type="fixed"/>
        <w:tblCellMar>
          <w:top w:w="11" w:type="dxa"/>
          <w:left w:w="57" w:type="dxa"/>
          <w:bottom w:w="11" w:type="dxa"/>
          <w:right w:w="57" w:type="dxa"/>
        </w:tblCellMar>
      </w:tblPr>
      <w:tblGrid>
        <w:gridCol w:w="2098"/>
        <w:gridCol w:w="7342"/>
        <w:gridCol w:w="1049"/>
      </w:tblGrid>
      <w:tr>
        <w:tc>
          <w:tcPr>
            <w:tcW w:w="2098" w:type="dxa"/>
            <w:tcBorders>
              <w:right w:val="single" w:color="bfbfbf" w:sz="12" w:space="0"/>
            </w:tcBorders>
            <w:tcMar>
              <w:top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Полное наименование</w:t>
            </w:r>
          </w:p>
        </w:tc>
        <w:tc>
          <w:tcPr>
            <w:tcW w:w="7342" w:type="dxa"/>
            <w:tcMar>
              <w:top w:w="0" w:type="dxa"/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Общество с ограниченной ответственностью "Спектр-Е"</w:t>
            </w:r>
          </w:p>
        </w:tc>
        <w:tc>
          <w:tcPr>
            <w:tcW w:w="1049" w:type="dxa"/>
            <w:tcMar>
              <w:top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06.12.2017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Краткое наименование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ООО "СПЕКТР-Е"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06.12.2017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Статус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een9"/>
              </w:rPr>
              <w:t xml:space="preserve">Действующее предприятие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Реестр МСП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Микропредприятие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Среднесписочная числ.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 2024: 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 2023: 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 2022: 2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 2021: 2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ИНН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7017436461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КПП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701401001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24.10.2022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Historical9"/>
              </w:rPr>
              <w:t xml:space="preserve">701701001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06.12.2017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ОГРН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1177031088937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Дата образования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6 декабря 2017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Юр. адрес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6">
              <w:r>
                <w:rPr>
                  <w:rStyle w:val="Normal9"/>
                  <w:color w:val="000000"/>
                  <w:u w:val="none" w:color="000000"/>
                </w:rPr>
                <w:t xml:space="preserve">634521, Томская обл, р-н Томский, с Кафтанчиково, ул Стадионная, 21, кв 1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16.11.2018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7">
              <w:r>
                <w:rPr>
                  <w:rStyle w:val="Historical9"/>
                  <w:color w:val="808080"/>
                  <w:u w:val="none" w:color="808080"/>
                </w:rPr>
                <w:t xml:space="preserve">634063, Томская обл, г Томск, ул Ивана Черных, 85, кв 48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06.12.2017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Код налог. органа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7000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Дата пост. на учет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24 октября 2022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Директор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8">
              <w:r>
                <w:rPr>
                  <w:rStyle w:val="Normal9"/>
                  <w:color w:val="000000"/>
                  <w:u w:val="none" w:color="000000"/>
                </w:rPr>
                <w:t xml:space="preserve">Спиридонова Екатерина Александровна, ИНН 701170949365</w:t>
              </w:r>
            </w:hyperlink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10.04.2020 (первая запись 06.12.2017)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Основной вид деятельности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Деятельность по оказанию услуг в области бухгалтерского учета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Уставный капитал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10 000 руб.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06.12.2017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Специальные налоговые режимы на 01.06.2025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Упрощенная система налогообложения (УСН)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ОКПО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20445218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Рег. номер ПФР (СФР)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1098058231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Рег. номер ФСС (СФР)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1098058231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ОКАТО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69254000040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ОКТМО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69654420101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ОКОПФ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12300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ОКОГУ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4210014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ОКФС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16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–</w:t>
            </w: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Статистика</w:t>
            </w: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Баланс за 2023: 2 млн 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Выручка за 2023: 69 т.р.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Чистая прибыль за 2023: 33 т.р.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Уплаченные налоги и сборы в 2023: 3,2 т.р.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BlueLink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Задолженность по налогам и сборам на конец 2025: 2,5 т.р.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7342" w:type="dxa"/>
            <w:tcMar>
              <w:lef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2098" w:type="dxa"/>
            <w:tcBorders>
              <w:right w:val="single" w:color="bfbfbf" w:sz="12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lueLink8"/>
              </w:rPr>
              <w:t xml:space="preserve">Маркеры</w:t>
            </w:r>
          </w:p>
        </w:tc>
        <w:tc>
          <w:tcPr>
            <w:tcW w:w="7342" w:type="dxa"/>
            <w:tcMar>
              <w:left w:w="200" w:type="dxa"/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Orange9"/>
              </w:rPr>
              <w:t xml:space="preserve">Процедура банкротства физлиц</w:t>
            </w:r>
          </w:p>
        </w:tc>
        <w:tc>
          <w:tcPr>
            <w:tcW w:w="1049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  <w:rPr>
                <w:rStyle w:val="Gray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Виды деятельности</w:t>
      </w:r>
      <w:r>
        <w:rPr>
          <w:rStyle w:val="SubsectionHeaderGraySmall"/>
        </w:rPr>
        <w:t xml:space="preserve"> (15)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9441"/>
        <w:gridCol w:w="1049"/>
      </w:tblGrid>
      <w:tr>
        <w:tc>
          <w:tcPr>
            <w:tcW w:w="944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Наименование вида деятельности</w:t>
            </w:r>
          </w:p>
        </w:tc>
        <w:tc>
          <w:tcPr>
            <w:tcW w:w="1049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Код</w:t>
            </w:r>
          </w:p>
        </w:tc>
      </w:tr>
      <w:tr>
        <w:tc>
          <w:tcPr>
            <w:tcW w:w="9441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049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Деятельность по оказанию услуг в области бухгалтерского учета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69.20.2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электромонтажных работ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43.21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43.22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прочих строительно-монтажных работ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43.29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штукатурных работ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43.31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Работы столярные и плотничные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43.32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Работы по устройству покрытий полов и облицовке стен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43.33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малярных и стекольных работ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43.34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Производство прочих отделочных и завершающих работ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43.39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Работы строительные специализированные прочие, не включенные в другие группировки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43.99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Работы строительные специализированные, не включенные в другие группировки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43.99.9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Деятельность автомобильного грузового транспорта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49.41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Деятельность страховых агентов и брокеров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66.22</w:t>
            </w:r>
          </w:p>
        </w:tc>
      </w:tr>
      <w:tr>
        <w:tc>
          <w:tcPr>
            <w:tcW w:w="9441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Деятельность в области права</w:t>
            </w:r>
          </w:p>
        </w:tc>
        <w:tc>
          <w:tcPr>
            <w:tcW w:w="1049" w:type="dxa"/>
            <w:tcMar/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69.10</w:t>
            </w:r>
          </w:p>
        </w:tc>
      </w:tr>
      <w:tr>
        <w:tc>
          <w:tcPr>
            <w:tcW w:w="9441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Ремонт компьютеров и периферийного компьютерного оборудования</w:t>
            </w:r>
          </w:p>
        </w:tc>
        <w:tc>
          <w:tcPr>
            <w:tcW w:w="1049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95.11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Учредители и участники</w:t>
      </w:r>
      <w:r>
        <w:rPr>
          <w:rStyle w:val="SubsectionHeaderGraySmall"/>
        </w:rPr>
        <w:t xml:space="preserve"> (1)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153"/>
        <w:gridCol w:w="2832"/>
        <w:gridCol w:w="6294"/>
        <w:gridCol w:w="1258"/>
      </w:tblGrid>
      <w:tr>
        <w:tc>
          <w:tcPr>
            <w:tcW w:w="1153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Доля в %</w:t>
            </w:r>
          </w:p>
        </w:tc>
        <w:tc>
          <w:tcPr>
            <w:tcW w:w="2832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Доля в руб.</w:t>
            </w:r>
          </w:p>
        </w:tc>
        <w:tc>
          <w:tcPr>
            <w:tcW w:w="629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Наименование и реквизиты учредителя или участника</w:t>
            </w:r>
          </w:p>
        </w:tc>
        <w:tc>
          <w:tcPr>
            <w:tcW w:w="125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Дата</w:t>
            </w:r>
          </w:p>
        </w:tc>
      </w:tr>
      <w:tr>
        <w:tc>
          <w:tcPr>
            <w:tcW w:w="1153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2832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6294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258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153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100%</w:t>
            </w:r>
          </w:p>
        </w:tc>
        <w:tc>
          <w:tcPr>
            <w:tcW w:w="2832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10 000,00 руб.</w:t>
            </w:r>
          </w:p>
        </w:tc>
        <w:tc>
          <w:tcPr>
            <w:tcW w:w="6294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9">
              <w:r>
                <w:rPr>
                  <w:rStyle w:val="Normal9"/>
                  <w:color w:val="000000"/>
                  <w:u w:val="none" w:color="000000"/>
                </w:rPr>
                <w:t xml:space="preserve">Спиридонова Екатерина Александровна, ИНН 701170949365</w:t>
              </w:r>
            </w:hyperlink>
          </w:p>
        </w:tc>
        <w:tc>
          <w:tcPr>
            <w:tcW w:w="1258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Gray8"/>
              </w:rPr>
              <w:t xml:space="preserve">10.04.2020 (первая запись 06.12.2017)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Конечные владельцы</w:t>
      </w:r>
      <w:r>
        <w:rPr>
          <w:rStyle w:val="SubsectionHeaderGraySmall"/>
        </w:rPr>
        <w:t xml:space="preserve"> (1)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363"/>
        <w:gridCol w:w="9126"/>
      </w:tblGrid>
      <w:tr>
        <w:tc>
          <w:tcPr>
            <w:tcW w:w="1363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Косвенная доля</w:t>
            </w:r>
          </w:p>
        </w:tc>
        <w:tc>
          <w:tcPr>
            <w:tcW w:w="9126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Bold8"/>
              </w:rPr>
              <w:t xml:space="preserve">Наименование и реквизиты конечного владельца</w:t>
            </w:r>
          </w:p>
        </w:tc>
      </w:tr>
      <w:tr>
        <w:tc>
          <w:tcPr>
            <w:tcW w:w="1363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9126" w:type="dxa"/>
            <w:tcMar/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</w:tr>
      <w:tr>
        <w:tc>
          <w:tcPr>
            <w:tcW w:w="1363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r>
              <w:rPr>
                <w:rStyle w:val="Normal9"/>
              </w:rPr>
              <w:t xml:space="preserve">100%</w:t>
            </w:r>
          </w:p>
        </w:tc>
        <w:tc>
          <w:tcPr>
            <w:tcW w:w="9126" w:type="dxa"/>
            <w:tcMar>
              <w:bottom w:w="0" w:type="dxa"/>
            </w:tcMar>
          </w:tcPr>
          <w:p>
            <w:pPr>
              <w:keepLines/>
              <w:spacing w:before="0" w:after="0" w:line="240" w:lineRule="auto"/>
            </w:pPr>
            <w:hyperlink xmlns:r="http://schemas.openxmlformats.org/officeDocument/2006/relationships" w:history="true" r:id="rId10">
              <w:r>
                <w:rPr>
                  <w:rStyle w:val="Normal9"/>
                  <w:color w:val="000000"/>
                  <w:u w:val="none" w:color="000000"/>
                </w:rPr>
                <w:t xml:space="preserve">Спиридонова Екатерина Александровна, ИНН: 701170949365</w:t>
              </w:r>
            </w:hyperlink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Форма №1. Бухгалтерский баланс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461"/>
        <w:gridCol w:w="944"/>
        <w:gridCol w:w="1311"/>
        <w:gridCol w:w="1311"/>
        <w:gridCol w:w="1311"/>
        <w:gridCol w:w="1311"/>
      </w:tblGrid>
      <w:tr>
        <w:tc>
          <w:tcPr>
            <w:tcW w:w="346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тысячах рублей</w:t>
            </w:r>
          </w:p>
        </w:tc>
        <w:tc>
          <w:tcPr>
            <w:tcW w:w="94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код</w:t>
            </w:r>
          </w:p>
        </w:tc>
        <w:tc>
          <w:tcPr>
            <w:tcW w:w="131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2020</w:t>
            </w:r>
          </w:p>
        </w:tc>
        <w:tc>
          <w:tcPr>
            <w:tcW w:w="131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2021</w:t>
            </w:r>
          </w:p>
        </w:tc>
        <w:tc>
          <w:tcPr>
            <w:tcW w:w="131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2022</w:t>
            </w:r>
          </w:p>
        </w:tc>
        <w:tc>
          <w:tcPr>
            <w:tcW w:w="131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2023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Актив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Запасы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1210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–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172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Денежные средства и денежные эквиваленты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1250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5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Финансовые и другие оборотные активы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1230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644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685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235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2 034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Баланс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1600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644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688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409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2 039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Пассив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Капитал и резервы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1300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581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624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287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795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Кредиторская задолженность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1520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64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64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122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1 244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Bold8"/>
              </w:rPr>
              <w:t xml:space="preserve">Баланс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1700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644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688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409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2 039</w:t>
            </w:r>
          </w:p>
        </w:tc>
      </w:tr>
      <w:tr>
        <w:tc>
          <w:tcPr>
            <w:tcW w:w="346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94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Форма №2. Отчет о финансовых результатах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461"/>
        <w:gridCol w:w="944"/>
        <w:gridCol w:w="1311"/>
        <w:gridCol w:w="1311"/>
        <w:gridCol w:w="1311"/>
        <w:gridCol w:w="1311"/>
      </w:tblGrid>
      <w:tr>
        <w:tc>
          <w:tcPr>
            <w:tcW w:w="346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тысячах рублей</w:t>
            </w:r>
          </w:p>
        </w:tc>
        <w:tc>
          <w:tcPr>
            <w:tcW w:w="94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код</w:t>
            </w:r>
          </w:p>
        </w:tc>
        <w:tc>
          <w:tcPr>
            <w:tcW w:w="131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2020</w:t>
            </w:r>
          </w:p>
        </w:tc>
        <w:tc>
          <w:tcPr>
            <w:tcW w:w="131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2021</w:t>
            </w:r>
          </w:p>
        </w:tc>
        <w:tc>
          <w:tcPr>
            <w:tcW w:w="131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2022</w:t>
            </w:r>
          </w:p>
        </w:tc>
        <w:tc>
          <w:tcPr>
            <w:tcW w:w="1311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конец 2023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Выручка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2110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457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567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1 471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69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Расходы по обычной деятельности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2120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144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550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1 119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32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Прочие расходы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2350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11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Налоги на прибыль (доходы)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2410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12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21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64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</w:t>
            </w:r>
          </w:p>
        </w:tc>
      </w:tr>
      <w:tr>
        <w:tc>
          <w:tcPr>
            <w:tcW w:w="346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Lines/>
              <w:spacing w:before="0" w:after="0" w:line="240" w:lineRule="auto"/>
              <w:ind w:left="120" w:hanging="0"/>
            </w:pPr>
            <w:r>
              <w:rPr>
                <w:rStyle w:val="Normal8"/>
              </w:rPr>
              <w:t xml:space="preserve">Чистая прибыль (убыток)</w:t>
            </w:r>
          </w:p>
        </w:tc>
        <w:tc>
          <w:tcPr>
            <w:tcW w:w="94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2400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299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-7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277</w:t>
            </w:r>
          </w:p>
        </w:tc>
        <w:tc>
          <w:tcPr>
            <w:tcW w:w="1311" w:type="dxa"/>
            <w:tcMar/>
          </w:tcPr>
          <w:p>
            <w:pPr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33</w:t>
            </w:r>
          </w:p>
        </w:tc>
      </w:tr>
      <w:tr>
        <w:tc>
          <w:tcPr>
            <w:tcW w:w="346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94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311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Уплаченные налоги и сборы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671"/>
        <w:gridCol w:w="1704"/>
        <w:gridCol w:w="1704"/>
        <w:gridCol w:w="1704"/>
        <w:gridCol w:w="1704"/>
      </w:tblGrid>
      <w:tr>
        <w:tc>
          <w:tcPr>
            <w:tcW w:w="367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рублях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2020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2021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2022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2023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Взносы в пенсионный фонд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11 440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9 573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19 082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1 762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Налог, взимаемый в связи с применением УСН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13 533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22 447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73 522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816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Взносы в фонд обязательного медицинского страхования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2 652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2 220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4 424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408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Взносы на обязательное соц. страхование (временная нетрудоспособность, материнство)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1 508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1 263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2 515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231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Суммы пеней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old8"/>
              </w:rPr>
              <w:t xml:space="preserve">Итого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29 133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35 504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99 543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3 217</w:t>
            </w:r>
          </w:p>
        </w:tc>
      </w:tr>
      <w:tr>
        <w:tc>
          <w:tcPr>
            <w:tcW w:w="367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Задолженность по налогам и сборам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671"/>
        <w:gridCol w:w="1704"/>
        <w:gridCol w:w="1704"/>
        <w:gridCol w:w="1704"/>
        <w:gridCol w:w="1704"/>
      </w:tblGrid>
      <w:tr>
        <w:tc>
          <w:tcPr>
            <w:tcW w:w="367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Суммы указаны в рублях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III кв 2024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IV кв 2024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I кв 2025</w:t>
            </w:r>
          </w:p>
        </w:tc>
        <w:tc>
          <w:tcPr>
            <w:tcW w:w="1704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II кв 2025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Налог, взимаемый в связи с  применением упрощенной  системы налогообложения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3 293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1 928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1 928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1 988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Взносы на обязательное соц. страхование (временная нетрудоспособность, материнство)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Суммы пеней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253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374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491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old8"/>
              </w:rPr>
              <w:t xml:space="preserve">Итого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3 294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2 181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2 302</w:t>
            </w:r>
          </w:p>
        </w:tc>
        <w:tc>
          <w:tcPr>
            <w:tcW w:w="1704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2 480</w:t>
            </w:r>
          </w:p>
        </w:tc>
      </w:tr>
      <w:tr>
        <w:tc>
          <w:tcPr>
            <w:tcW w:w="367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  <w:tc>
          <w:tcPr>
            <w:tcW w:w="1704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tbl>
      <w:tblPr>
        <w:tblStyle w:val="NoBorder"/>
        <w:tblW w:w="104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0"/>
      </w:tblGrid>
      <w:tr>
        <w:tc>
          <w:tcPr>
            <w:tcW w:w="10490" w:type="dxa"/>
            <w:tcMar>
              <w:top w:w="0" w:type="dxa"/>
              <w:bottom w:w="0" w:type="dxa"/>
            </w:tcMar>
          </w:tcPr>
          <w:p>
            <w:pPr>
              <w:keepLines/>
              <w:spacing w:before="130" w:after="92" w:line="240" w:lineRule="auto"/>
            </w:pPr>
            <w:r>
              <w:rPr>
                <w:rStyle w:val="GrayItalic8"/>
              </w:rPr>
              <w:t xml:space="preserve">Сумма задолженности на 10 число второго месяца указанного квартала</w:t>
            </w:r>
          </w:p>
        </w:tc>
      </w:tr>
    </w:tbl>
    <w:p>
      <w:pPr>
        <w:keepNext/>
        <w:keepLines/>
        <w:spacing w:before="600" w:after="240" w:line="240" w:lineRule="auto"/>
        <w:outlineLvl w:val="0"/>
      </w:pPr>
      <w:r>
        <w:rPr>
          <w:rStyle w:val="SubsectionHeaderSmall"/>
        </w:rPr>
        <w:t xml:space="preserve">Налоговая нагрузка</w:t>
      </w:r>
    </w:p>
    <w:tbl>
      <w:tblPr>
        <w:tblStyle w:val="NoBorder"/>
        <w:tblW w:w="10490" w:type="dxa"/>
        <w:tblLayout w:type="fixed"/>
        <w:tblCellMar>
          <w:top w:w="28" w:type="dxa"/>
          <w:left w:w="108" w:type="dxa"/>
          <w:bottom w:w="18" w:type="dxa"/>
          <w:right w:w="108" w:type="dxa"/>
        </w:tblCellMar>
      </w:tblPr>
      <w:tblGrid>
        <w:gridCol w:w="3671"/>
        <w:gridCol w:w="6818"/>
      </w:tblGrid>
      <w:tr>
        <w:tc>
          <w:tcPr>
            <w:tcW w:w="3671" w:type="dxa"/>
            <w:tcBorders>
              <w:top w:val="single" w:color="a5a5a5" w:sz="4" w:space="0"/>
              <w:bottom w:val="single" w:color="a5a5a5" w:sz="4" w:space="0"/>
              <w:right w:val="single" w:color="d9d9d9" w:sz="4" w:space="0"/>
            </w:tcBorders>
            <w:tcMar>
              <w:top w:w="0" w:type="dxa"/>
              <w:right w:w="200" w:type="dxa"/>
            </w:tcMar>
          </w:tcPr>
          <w:p>
            <w:pPr>
              <w:keepNext/>
              <w:keepLines/>
              <w:spacing w:before="130" w:after="92" w:line="240" w:lineRule="auto"/>
              <w:rPr>
                <w:rStyle w:val="GrayItalic8"/>
              </w:rPr>
            </w:pPr>
          </w:p>
        </w:tc>
        <w:tc>
          <w:tcPr>
            <w:tcW w:w="6818" w:type="dxa"/>
            <w:tcBorders>
              <w:top w:val="single" w:color="a5a5a5" w:sz="4" w:space="0"/>
              <w:bottom w:val="single" w:color="a5a5a5" w:sz="4" w:space="0"/>
            </w:tcBorders>
            <w:tcMar>
              <w:top w:w="0" w:type="dxa"/>
            </w:tcMar>
          </w:tcPr>
          <w:p>
            <w:pPr>
              <w:keepNext/>
              <w:keepLines/>
              <w:spacing w:before="130" w:after="92" w:line="240" w:lineRule="auto"/>
              <w:jc w:val="right"/>
            </w:pPr>
            <w:r>
              <w:rPr>
                <w:rStyle w:val="GrayBold8"/>
              </w:rPr>
              <w:t xml:space="preserve">2022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НДС</w:t>
            </w: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-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НДС - средняя по отрасли</w:t>
            </w: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4,66 %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old8"/>
              </w:rPr>
              <w:t xml:space="preserve">НДС - расхождение</w:t>
            </w: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Налог на прибыль</w:t>
            </w: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-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Налог на прибыль - средняя по отрасли</w:t>
            </w: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0,50 %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old8"/>
              </w:rPr>
              <w:t xml:space="preserve">Налог на прибыль - расхождение</w:t>
            </w: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Все налоги (кроме страховых взносов и НДФЛ)</w:t>
            </w: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5,00 %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Normal8"/>
              </w:rPr>
              <w:t xml:space="preserve">Все налоги (кроме страховых взносов и НДФЛ) - средняя по отрасли</w:t>
            </w: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Normal8"/>
              </w:rPr>
              <w:t xml:space="preserve">8,03 %</w:t>
            </w:r>
          </w:p>
        </w:tc>
      </w:tr>
      <w:tr>
        <w:tc>
          <w:tcPr>
            <w:tcW w:w="3671" w:type="dxa"/>
            <w:tcBorders>
              <w:right w:val="single" w:color="d9d9d9" w:sz="4" w:space="0"/>
            </w:tcBorders>
            <w:tcMar>
              <w:right w:w="200" w:type="dxa"/>
            </w:tcMar>
          </w:tcPr>
          <w:p>
            <w:pPr>
              <w:keepNext/>
              <w:keepLines/>
              <w:spacing w:before="0" w:after="0" w:line="240" w:lineRule="auto"/>
            </w:pPr>
            <w:r>
              <w:rPr>
                <w:rStyle w:val="Bold8"/>
              </w:rPr>
              <w:t xml:space="preserve">Все налоги (кроме страховых взносов и НДФЛ) - расхождение</w:t>
            </w:r>
          </w:p>
        </w:tc>
        <w:tc>
          <w:tcPr>
            <w:tcW w:w="6818" w:type="dxa"/>
            <w:tcMar/>
          </w:tcPr>
          <w:p>
            <w:pPr>
              <w:keepNext/>
              <w:keepLines/>
              <w:spacing w:before="0" w:after="0" w:line="240" w:lineRule="auto"/>
              <w:jc w:val="right"/>
            </w:pPr>
            <w:r>
              <w:rPr>
                <w:rStyle w:val="Bold8"/>
              </w:rPr>
              <w:t xml:space="preserve">-3,03 %</w:t>
            </w:r>
          </w:p>
        </w:tc>
      </w:tr>
      <w:tr>
        <w:tc>
          <w:tcPr>
            <w:tcW w:w="3671" w:type="dxa"/>
            <w:tcBorders>
              <w:bottom w:val="single" w:color="a5a5a5" w:sz="4" w:space="0"/>
              <w:right w:val="single" w:color="d9d9d9" w:sz="4" w:space="0"/>
            </w:tcBorders>
            <w:tcMar>
              <w:bottom w:w="0" w:type="dxa"/>
              <w:right w:w="200" w:type="dxa"/>
            </w:tcMar>
          </w:tcPr>
          <w:p>
            <w:pPr>
              <w:keepLines/>
              <w:spacing w:before="0" w:after="0" w:line="240" w:lineRule="auto"/>
              <w:rPr>
                <w:rStyle w:val="Normal8"/>
              </w:rPr>
            </w:pPr>
          </w:p>
        </w:tc>
        <w:tc>
          <w:tcPr>
            <w:tcW w:w="6818" w:type="dxa"/>
            <w:tcBorders>
              <w:bottom w:val="single" w:color="a5a5a5" w:sz="4" w:space="0"/>
            </w:tcBorders>
            <w:tcMar>
              <w:bottom w:w="0" w:type="dxa"/>
            </w:tcMar>
          </w:tcPr>
          <w:p>
            <w:pPr>
              <w:keepLines/>
              <w:spacing w:before="0" w:after="0" w:line="240" w:lineRule="auto"/>
              <w:jc w:val="right"/>
              <w:rPr>
                <w:rStyle w:val="Normal8"/>
              </w:rPr>
            </w:pPr>
          </w:p>
        </w:tc>
      </w:tr>
    </w:tbl>
    <w:sectPr>
      <w:footerReference xmlns:r="http://schemas.openxmlformats.org/officeDocument/2006/relationships" w:type="default" r:id="rId1"/>
      <w:pgSz w:w="11906" w:h="16838"/>
      <w:pgMar w:top="720" w:right="720" w:bottom="720" w:left="720" w:header="720" w:footer="315" w:gutter="0"/>
    </w:sectPr>
  </w:body>
</w:document>
</file>

<file path=word/fontTable.xml><?xml version="1.0" encoding="utf-8"?>
<w:fonts xmlns:w="http://schemas.openxmlformats.org/wordprocessingml/2006/main">
  <w:font w:name="Arial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.xml><?xml version="1.0" encoding="utf-8"?>
<w:ftr xmlns:w="http://schemas.openxmlformats.org/wordprocessingml/2006/main">
  <w:p>
    <w:pPr>
      <w:spacing w:before="0" w:after="0" w:line="240" w:lineRule="auto"/>
      <w:jc w:val="right"/>
      <w:rPr>
        <w:rStyle w:val="Normal8"/>
      </w:rPr>
    </w:pPr>
  </w:p>
  <w:tbl>
    <w:tblPr>
      <w:tblStyle w:val="NoBorder"/>
      <w:tblW w:w="0" w:type="auto"/>
    </w:tblPr>
    <w:tblGrid>
      <w:gridCol w:w="9555"/>
      <w:gridCol w:w="935"/>
    </w:tblGrid>
    <w:tr>
      <w:tc>
        <w:tcPr>
          <w:tcW w:w="9555" w:type="dxa"/>
        </w:tcPr>
        <w:p>
          <w:pPr>
            <w:spacing w:before="0" w:after="0" w:line="240" w:lineRule="auto"/>
          </w:pPr>
          <w:r>
            <w:rPr>
              <w:rStyle w:val="Gray7"/>
            </w:rPr>
            <w:t xml:space="preserve">ООО "СПЕКТР-Е", ОГРН 1177031088937, по данным сервиса Контур.Фокус на 09.07.2025</w:t>
          </w:r>
        </w:p>
      </w:tc>
      <w:tc>
        <w:tcPr>
          <w:tcW w:w="935" w:type="dxa"/>
        </w:tcPr>
        <w:p>
          <w:pPr>
            <w:spacing w:before="0" w:after="0" w:line="240" w:lineRule="auto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</w:tbl>
  <w:p>
    <w:pPr>
      <w:spacing w:before="0" w:after="0" w:line="240" w:lineRule="auto"/>
      <w:jc w:val="right"/>
      <w:rPr>
        <w:rStyle w:val="Normal8"/>
      </w:rPr>
    </w:pPr>
  </w:p>
</w:ftr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6"/>
        <w:szCs w:val="16"/>
      </w:rPr>
    </w:rPrDefault>
    <w:pPrDefault>
      <w:pPr>
        <w:spacing w:before="0" w:after="180" w:line="240" w:lineRule="auto"/>
        <w:ind w:left="0" w:right="0" w:hanging="0"/>
      </w:pPr>
    </w:pPrDefault>
  </w:docDefaults>
  <w:style w:type="table" w:styleId="NoBorder" w:default="true">
    <w:name w:val="NoBorder"/>
    <w:tblPr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</w:tblPr>
  </w:style>
  <w:style w:type="table" w:styleId="WithBorder" w:default="true">
    <w:name w:val="WithBorder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8" w:default="true">
    <w:name w:val="Normal8"/>
    <w:rPr/>
  </w:style>
  <w:style w:type="character" w:styleId="Gray7" w:default="true">
    <w:name w:val="Gray7"/>
    <w:rPr>
      <w:color w:val="818181"/>
      <w:sz w:val="14"/>
      <w:szCs w:val="14"/>
    </w:rPr>
  </w:style>
  <w:style w:type="character" w:styleId="MainTitle" w:default="true">
    <w:name w:val="MainTitle"/>
    <w:rPr>
      <w:sz w:val="44"/>
      <w:szCs w:val="44"/>
    </w:rPr>
  </w:style>
  <w:style w:type="character" w:styleId="MainTitleDate" w:default="true">
    <w:name w:val="MainTitleDate"/>
    <w:rPr>
      <w:sz w:val="32"/>
      <w:szCs w:val="32"/>
    </w:rPr>
  </w:style>
  <w:style w:type="character" w:styleId="BlueLink8" w:default="true">
    <w:name w:val="BlueLink8"/>
    <w:rPr>
      <w:color w:val="2f5496"/>
    </w:rPr>
  </w:style>
  <w:style w:type="character" w:styleId="Normal9" w:default="true">
    <w:name w:val="Normal9"/>
    <w:rPr>
      <w:sz w:val="18"/>
      <w:szCs w:val="18"/>
    </w:rPr>
  </w:style>
  <w:style w:type="character" w:styleId="Gray8" w:default="true">
    <w:name w:val="Gray8"/>
    <w:rPr>
      <w:color w:val="808080"/>
    </w:rPr>
  </w:style>
  <w:style w:type="character" w:styleId="Green9" w:default="true">
    <w:name w:val="Green9"/>
    <w:rPr>
      <w:color w:val="008e40"/>
      <w:sz w:val="18"/>
      <w:szCs w:val="18"/>
    </w:rPr>
  </w:style>
  <w:style w:type="character" w:styleId="Historical9" w:default="true">
    <w:name w:val="Historical9"/>
    <w:rPr>
      <w:strike/>
      <w:color w:val="808080"/>
      <w:sz w:val="18"/>
      <w:szCs w:val="18"/>
    </w:rPr>
  </w:style>
  <w:style w:type="character" w:styleId="Orange9" w:default="true">
    <w:name w:val="Orange9"/>
    <w:rPr>
      <w:color w:val="ef7111"/>
      <w:sz w:val="18"/>
      <w:szCs w:val="18"/>
    </w:rPr>
  </w:style>
  <w:style w:type="character" w:styleId="SubsectionHeaderSmall" w:default="true">
    <w:name w:val="SubsectionHeaderSmall"/>
    <w:rPr>
      <w:b/>
      <w:color w:val="2f5496"/>
      <w:sz w:val="22"/>
      <w:szCs w:val="22"/>
    </w:rPr>
  </w:style>
  <w:style w:type="character" w:styleId="SubsectionHeaderGraySmall" w:default="true">
    <w:name w:val="SubsectionHeaderGraySmall"/>
    <w:rPr>
      <w:color w:val="808080"/>
      <w:sz w:val="20"/>
      <w:szCs w:val="20"/>
    </w:rPr>
  </w:style>
  <w:style w:type="character" w:styleId="GrayBold8" w:default="true">
    <w:name w:val="GrayBold8"/>
    <w:rPr>
      <w:b/>
      <w:color w:val="808080"/>
    </w:rPr>
  </w:style>
  <w:style w:type="character" w:styleId="GrayItalic8" w:default="true">
    <w:name w:val="GrayItalic8"/>
    <w:rPr>
      <w:i/>
      <w:color w:val="808080"/>
    </w:rPr>
  </w:style>
  <w:style w:type="character" w:styleId="Bold8" w:default="true">
    <w:name w:val="Bold8"/>
    <w:rPr>
      <w:b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/word/footer.xml" Id="rId1" /><Relationship Type="http://schemas.openxmlformats.org/officeDocument/2006/relationships/styles" Target="/word/styles.xml" Id="rId3" /><Relationship Type="http://schemas.openxmlformats.org/officeDocument/2006/relationships/numbering" Target="/word/numbering.xml" Id="rId4" /><Relationship Type="http://schemas.openxmlformats.org/officeDocument/2006/relationships/fontTable" Target="/word/fontTable.xml" Id="rId5" /><Relationship Type="http://schemas.openxmlformats.org/officeDocument/2006/relationships/hyperlink" Target="https://focus.kontur.ru:443/search?query=%22%D0%A2%D0%BE%D0%BC%D1%81%D0%BA%D0%B0%D1%8F+%D0%A2%D0%BE%D0%BC%D1%81%D0%BA%D0%B8%D0%B9+%D0%9A%D0%B0%D1%84%D1%82%D0%B0%D0%BD%D1%87%D0%B8%D0%BA%D0%BE%D0%B2%D0%BE+%D0%A1%D1%82%D0%B0%D0%B4%D0%B8%D0%BE%D0%BD%D0%BD%D0%B0%D1%8F+21%22&amp;office=docx" TargetMode="External" Id="rId6" /><Relationship Type="http://schemas.openxmlformats.org/officeDocument/2006/relationships/hyperlink" Target="https://focus.kontur.ru:443/search?query=%22%D0%A2%D0%BE%D0%BC%D1%81%D0%BA%D0%B0%D1%8F+%D0%A2%D0%BE%D0%BC%D1%81%D0%BA+%D0%98%D0%B2%D0%B0%D0%BD%D0%B0+%D0%A7%D0%B5%D1%80%D0%BD%D1%8B%D1%85+85%22&amp;office=docx" TargetMode="External" Id="rId7" /><Relationship Type="http://schemas.openxmlformats.org/officeDocument/2006/relationships/hyperlink" Target="https://focus.kontur.ru:443/search?query=%22%D0%A1%D0%BF%D0%B8%D1%80%D0%B8%D0%B4%D0%BE%D0%BD%D0%BE%D0%B2%D0%B0+%D0%95%D0%BA%D0%B0%D1%82%D0%B5%D1%80%D0%B8%D0%BD%D0%B0+%D0%90%D0%BB%D0%B5%D0%BA%D1%81%D0%B0%D0%BD%D0%B4%D1%80%D0%BE%D0%B2%D0%BD%D0%B0%22+701170949365&amp;office=docx" TargetMode="External" Id="rId8" /><Relationship Type="http://schemas.openxmlformats.org/officeDocument/2006/relationships/hyperlink" Target="https://focus.kontur.ru:443/search?query=%22%D0%A1%D0%BF%D0%B8%D1%80%D0%B8%D0%B4%D0%BE%D0%BD%D0%BE%D0%B2%D0%B0+%D0%95%D0%BA%D0%B0%D1%82%D0%B5%D1%80%D0%B8%D0%BD%D0%B0+%D0%90%D0%BB%D0%B5%D0%BA%D1%81%D0%B0%D0%BD%D0%B4%D1%80%D0%BE%D0%B2%D0%BD%D0%B0%22+701170949365&amp;office=docx" TargetMode="External" Id="rId9" /><Relationship Type="http://schemas.openxmlformats.org/officeDocument/2006/relationships/hyperlink" Target="https://focus.kontur.ru:443/forward?query=701170949365&amp;office=docx" TargetMode="External" Id="rId10" /></Relationships>
</file>

<file path=docProps/app.xml><?xml version="1.0" encoding="utf-8"?>
<ap:Properties xmlns:ap="http://schemas.openxmlformats.org/officeDocument/2006/extended-properties">
  <ap:Company>АО "ПФ "СКБ Контур"</ap:Company>
</ap:Properties>
</file>