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2"/>
        </w:rPr>
      </w:pPr>
      <w:r>
        <w:rPr>
          <w:b/>
          <w:sz w:val="22"/>
        </w:rPr>
        <w:t>ДОГОВОР О ЗАДАТКЕ №_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 xml:space="preserve">г.Екатеринбург                                                                                                                             «__» _____ 2025 г.                         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>Общество с ограниченной ответственностью «ИСТОК», именуемое в дальнейшем «Цедент», в лице Конкурсного управляющего Ростунова А.В., действующего на основании Решения Арбитражного суда Свердловской области от «22» октября 2024г. (резолютивная часть решения объявлена 15.10.2024) по делу № А60-27089/2024, с одной стороны, и</w:t>
      </w:r>
    </w:p>
    <w:p>
      <w:pPr>
        <w:pStyle w:val="LOnormal"/>
        <w:keepNext w:val="false"/>
        <w:keepLines w:val="false"/>
        <w:widowControl/>
        <w:shd w:val="clear" w:fill="auto"/>
        <w:spacing w:lineRule="auto" w:line="240" w:before="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_________________________________________________________________________________,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vertAlign w:val="baseline"/>
        </w:rPr>
        <w:t xml:space="preserve">в лице ___________________________________________________________________, действующего на основании ______________,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именуем__ в дальнейшем «Претендент», с другой стороны (совместно и каждый в отдельности именуемые соответственно «Стороны» и «Сторона»), заключили настоящий Договор о нижеследующем: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Предмет договора</w:t>
      </w:r>
    </w:p>
    <w:p>
      <w:pPr>
        <w:pStyle w:val="Normal"/>
        <w:tabs>
          <w:tab w:val="clear" w:pos="708"/>
          <w:tab w:val="left" w:pos="284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В соответствии с условиями настоящего договора, для участия в открытых электронных торгах в форме аукциона открытого по составу участников с открытой формой представления предложений о цене, по продаже имущества должника </w:t>
      </w:r>
      <w:r>
        <w:rPr>
          <w:b/>
          <w:sz w:val="22"/>
        </w:rPr>
        <w:t xml:space="preserve">ООО «Исток», Лот № _ </w:t>
      </w:r>
      <w:r>
        <w:rPr>
          <w:sz w:val="22"/>
        </w:rPr>
        <w:t xml:space="preserve">- «___________________________________________________________________________», начальная цена продажи которого составляет ________,00 (_____________) рублей 00 копейки.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420" w:right="0" w:hanging="420"/>
        <w:jc w:val="both"/>
        <w:rPr>
          <w:sz w:val="22"/>
        </w:rPr>
      </w:pPr>
      <w:r>
        <w:rPr>
          <w:sz w:val="22"/>
        </w:rPr>
        <w:t xml:space="preserve">Задаток устанавливается в сумме ______,00 (_____________________-) рублей 00 копеек, что составляет 10% от стоимости лота на этапе. Претендент обязуется внести задаток, в счет обеспечения оплаты приобретаемого на торгах имущества.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Торги, указанные в п.1.1. будут проводиться на электронной площадке ЗАО «Уральская электронная торговая площадка» (www.etpu.ru). 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Порядок внесения задатка</w:t>
      </w:r>
    </w:p>
    <w:p>
      <w:pPr>
        <w:pStyle w:val="Normal"/>
        <w:tabs>
          <w:tab w:val="clear" w:pos="708"/>
          <w:tab w:val="left" w:pos="284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Задаток на участие в торгах торгов должен поступить на счет Оператора торгов в течение срока приема заявок - в течение 2 (Двух) рабочих дней с момента заключения договора о задатке между Претендентом и Организатором, но не позднее дня окончания приема заявок на участие в торгах.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Документом, подтверждающим поступление задатка на счет Оператора, является выписка с расчетного счета Оператора.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В случае не поступления суммы задатка, указанной в п.1.2. настоящего договора, в установленный п.2.1. срок, обязательства Претендента по внесению задатка считаются невыполненными, в этом случае Претендент к участию в торгах не допускается.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0" w:leader="none"/>
        </w:tabs>
        <w:ind w:left="420" w:right="0" w:hanging="420"/>
        <w:jc w:val="both"/>
        <w:rPr>
          <w:sz w:val="22"/>
        </w:rPr>
      </w:pPr>
      <w:r>
        <w:rPr>
          <w:sz w:val="22"/>
        </w:rPr>
        <w:t xml:space="preserve">Задаток вносится Претендентом путем перечисления денежных средств в валюте Российской Федерации, единовременно, одним платежом, в полном размере на счет Оператора торгов по следующим реквизитам: Получатель: </w:t>
      </w:r>
      <w:r>
        <w:rPr>
          <w:rFonts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ООО «Исток»</w:t>
      </w:r>
      <w:r>
        <w:rPr>
          <w:rFonts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shd w:fill="auto" w:val="clear"/>
          <w:vertAlign w:val="baseline"/>
        </w:rPr>
        <w:t>ИНН 6678106929,  КПП 667801001, р/с 40702810</w:t>
      </w:r>
      <w:r>
        <w:rPr>
          <w:rFonts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shd w:fill="auto" w:val="clear"/>
          <w:vertAlign w:val="baseline"/>
        </w:rPr>
        <w:t>802890002119</w:t>
      </w:r>
      <w:r>
        <w:rPr>
          <w:rFonts w:eastAsia="Times New Roman" w:cs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shd w:fill="auto" w:val="clear"/>
          <w:vertAlign w:val="baseline"/>
        </w:rPr>
        <w:t xml:space="preserve">  в ПАО "МОСКОВСКИЙ КРЕДИТНЫЙ БАНК", г. Москва к/с 30101810745250000659, БИК 044525659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highlight w:val="white"/>
          <w:u w:val="none"/>
          <w:shd w:fill="auto" w:val="clear"/>
          <w:vertAlign w:val="baseline"/>
        </w:rPr>
        <w:t>.</w:t>
      </w:r>
    </w:p>
    <w:p>
      <w:pPr>
        <w:pStyle w:val="Normal"/>
        <w:tabs>
          <w:tab w:val="clear" w:pos="708"/>
          <w:tab w:val="left" w:pos="0" w:leader="none"/>
        </w:tabs>
        <w:jc w:val="both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Претендент в платежном поручении в назначении платежа указывает: </w:t>
      </w:r>
      <w:r>
        <w:rPr>
          <w:b/>
          <w:sz w:val="22"/>
        </w:rPr>
        <w:t>«Задаток за участие в торгах №_____  по реализации имущества ООО «Исток», Лот №_».</w:t>
      </w:r>
    </w:p>
    <w:p>
      <w:pPr>
        <w:pStyle w:val="Normal"/>
        <w:jc w:val="both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60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Порядок возврата и удержания задатка</w:t>
      </w:r>
    </w:p>
    <w:p>
      <w:pPr>
        <w:pStyle w:val="Normal"/>
        <w:tabs>
          <w:tab w:val="clear" w:pos="708"/>
          <w:tab w:val="left" w:pos="360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Задаток возвращается в случаях и в сроки, указанные в п.3.2 договора путем перечисления суммы внесенного задатка на указанный в заявке счет Претендента. Претендент обязан незамедлительно информировать Организатора торгов об изменении своих банковских реквизитов. Организатор не отвечает за нарушение установленных настоящим договором сроков возврата задатка в случае, если Претендент своевременно не проинформировал Организатора торгов об изменении своих банковских реквизитов.</w:t>
      </w:r>
    </w:p>
    <w:p>
      <w:pPr>
        <w:pStyle w:val="Normal"/>
        <w:numPr>
          <w:ilvl w:val="1"/>
          <w:numId w:val="1"/>
        </w:numPr>
        <w:ind w:left="0" w:right="0" w:hanging="0"/>
        <w:jc w:val="both"/>
        <w:rPr>
          <w:sz w:val="22"/>
        </w:rPr>
      </w:pPr>
      <w:r>
        <w:rPr>
          <w:sz w:val="22"/>
        </w:rPr>
        <w:t xml:space="preserve">Возврату подлежит сумма задатка за минусом банковских расходов по переводу и снятию денежных средств (обязательно подтверждается). Внесенный задаток подлежит возврату Претенденту по следующим реквизитам: ______________________________________             </w:t>
      </w:r>
    </w:p>
    <w:p>
      <w:pPr>
        <w:pStyle w:val="ConsNormal1"/>
        <w:widowControl/>
        <w:tabs>
          <w:tab w:val="clear" w:pos="708"/>
          <w:tab w:val="left" w:pos="426" w:leader="none"/>
        </w:tabs>
        <w:ind w:left="0" w:right="0" w:hanging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в случаях:</w:t>
      </w:r>
    </w:p>
    <w:p>
      <w:pPr>
        <w:pStyle w:val="ConsNormal1"/>
        <w:widowControl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</w:t>
      </w:r>
    </w:p>
    <w:p>
      <w:pPr>
        <w:pStyle w:val="ConsNormal1"/>
        <w:widowControl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rPr>
          <w:sz w:val="22"/>
        </w:rPr>
      </w:pPr>
      <w:r>
        <w:rPr>
          <w:sz w:val="22"/>
        </w:rPr>
        <w:t>если торги по продаже имущества были отменены Организатором торгов. Организатор торгов возвращает сумму внесенного Претендентом</w:t>
      </w:r>
      <w:r>
        <w:rPr>
          <w:b/>
          <w:sz w:val="22"/>
        </w:rPr>
        <w:t xml:space="preserve"> </w:t>
      </w:r>
      <w:r>
        <w:rPr>
          <w:sz w:val="22"/>
        </w:rPr>
        <w:t>задатка в течение 5 (пяти) рабочих дней со дня принятия решения об отмене торгов;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rPr>
          <w:sz w:val="22"/>
        </w:rPr>
      </w:pPr>
      <w:r>
        <w:rPr>
          <w:sz w:val="22"/>
        </w:rPr>
        <w:t xml:space="preserve">если Претендент отозвал  заявку на участие в торгах до момента приобретения им статуса участника торгов. Организатор торгов возвращает сумму внесенного Претендентом задатка в течение 5 (пяти) рабочих дней со дня подписания Протокола о результатах торгов; </w:t>
      </w:r>
    </w:p>
    <w:p>
      <w:pPr>
        <w:pStyle w:val="Style18"/>
        <w:numPr>
          <w:ilvl w:val="0"/>
          <w:numId w:val="2"/>
        </w:numPr>
        <w:tabs>
          <w:tab w:val="clear" w:pos="708"/>
          <w:tab w:val="left" w:pos="426" w:leader="none"/>
        </w:tabs>
        <w:ind w:left="0" w:right="0" w:hanging="0"/>
        <w:rPr>
          <w:sz w:val="22"/>
        </w:rPr>
      </w:pPr>
      <w:r>
        <w:rPr>
          <w:sz w:val="22"/>
        </w:rPr>
        <w:t>если торги признаны несостоявшимися по причине подачи заявки на участие в торгах единственным участником, при этом данный участник был допущен к участию в торгах, Продавец после подписания Организатором торгов Протокола об определении участников торгов и Протокола о результатах торгов, в течение 5 (Пяти) рабочих дней предлагает единственному участнику торгов заключить договор купли-продажи выставляемого на торги имущества, а внесенный им задаток засчитывается в счет оплаты приобретаемого имущества.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 xml:space="preserve">В случае признания Претендента Победителем торгов, внесенный им задаток засчитывается в счет оплаты приобретаемого имущества на торгах при подписании Протокола о результатах торгов, имеющего силу договора (при заключении в установленном порядке Договора купли – продажи). 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Организатор подписывает в день определения Победителя торгов протокол о результатах проведения торгов, который имеет силу договора. Внесенный задаток не возвращается в случае, если Претендент, признанный победителем торгов уклонится от подписания Протокола о результатах торгов в установленный срок и подписания договора купли-продажи в течение 5 (пяти) дней с даты получения предложения от Продавца заключить договор купли-продажи имущества, а также в случае уклонения от оплаты продаваемого на торгах имущества, в срок установленный договором купли-продажи имущества.</w:t>
      </w:r>
    </w:p>
    <w:p>
      <w:pPr>
        <w:pStyle w:val="Normal"/>
        <w:tabs>
          <w:tab w:val="clear" w:pos="708"/>
          <w:tab w:val="left" w:pos="360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Срок действия настоящего договора</w:t>
      </w:r>
    </w:p>
    <w:p>
      <w:pPr>
        <w:pStyle w:val="Normal"/>
        <w:tabs>
          <w:tab w:val="clear" w:pos="708"/>
          <w:tab w:val="left" w:pos="284" w:leader="none"/>
        </w:tabs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Сторонами и прекращает свое действие надлежащим своим исполнением.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Настоящий договор регулируется действующим законодательством Российской Федерации.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426" w:leader="none"/>
        </w:tabs>
        <w:ind w:left="0" w:right="0" w:hanging="0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по одному для каждой из сторон.</w:t>
      </w:r>
    </w:p>
    <w:p>
      <w:pPr>
        <w:pStyle w:val="Normal"/>
        <w:tabs>
          <w:tab w:val="clear" w:pos="708"/>
          <w:tab w:val="left" w:pos="426" w:leader="none"/>
        </w:tabs>
        <w:jc w:val="both"/>
        <w:rPr>
          <w:sz w:val="22"/>
        </w:rPr>
      </w:pPr>
      <w:r>
        <w:rPr>
          <w:sz w:val="22"/>
        </w:rPr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ind w:left="0" w:right="0" w:hanging="0"/>
        <w:jc w:val="center"/>
        <w:rPr>
          <w:b/>
          <w:b/>
          <w:sz w:val="22"/>
        </w:rPr>
      </w:pPr>
      <w:r>
        <w:rPr>
          <w:b/>
          <w:sz w:val="22"/>
        </w:rPr>
        <w:t>Реквизиты и подписи сторон</w:t>
      </w:r>
    </w:p>
    <w:p>
      <w:pPr>
        <w:pStyle w:val="Normal"/>
        <w:tabs>
          <w:tab w:val="clear" w:pos="708"/>
          <w:tab w:val="left" w:pos="284" w:leader="none"/>
        </w:tabs>
        <w:jc w:val="center"/>
        <w:rPr>
          <w:b/>
          <w:b/>
          <w:sz w:val="22"/>
        </w:rPr>
      </w:pPr>
      <w:r>
        <w:rPr>
          <w:b/>
          <w:sz w:val="22"/>
        </w:rPr>
      </w:r>
    </w:p>
    <w:tbl>
      <w:tblPr>
        <w:tblStyle w:val="Style_3"/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1"/>
        <w:gridCol w:w="4819"/>
      </w:tblGrid>
      <w:tr>
        <w:trPr>
          <w:trHeight w:val="688" w:hRule="atLeast"/>
        </w:trPr>
        <w:tc>
          <w:tcPr>
            <w:tcW w:w="5211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Цедент</w:t>
            </w:r>
          </w:p>
        </w:tc>
        <w:tc>
          <w:tcPr>
            <w:tcW w:w="4819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Претендент</w:t>
            </w:r>
          </w:p>
        </w:tc>
      </w:tr>
      <w:tr>
        <w:trPr>
          <w:trHeight w:val="402" w:hRule="atLeast"/>
        </w:trPr>
        <w:tc>
          <w:tcPr>
            <w:tcW w:w="5211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ООО «Исток»</w:t>
            </w:r>
          </w:p>
          <w:p>
            <w:pPr>
              <w:pStyle w:val="LOnormal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ИНН 6678106929,  КПП 667801001, р/с 40702810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502890002118</w:t>
            </w:r>
            <w:r>
              <w:rPr>
                <w:rFonts w:eastAsia="Times New Roman" w:cs="Times New Roman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 в ПАО "МОСКОВСКИЙ КРЕДИТНЫЙ БАНК", г. Москва к/с 30101810745250000659, БИК 044525659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.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Конкурсный управляющий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Ростунов А.В.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4819" w:type="dxa"/>
            <w:tcBorders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_____________________ / _______________</w:t>
            </w:r>
          </w:p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uppressAutoHyphens w:val="true"/>
              <w:spacing w:lineRule="auto" w:line="240" w:before="0" w:after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jc w:val="center"/>
        <w:rPr>
          <w:b/>
          <w:b/>
          <w:sz w:val="22"/>
        </w:rPr>
      </w:pPr>
      <w:r>
        <w:rPr>
          <w:b/>
          <w:sz w:val="22"/>
        </w:rPr>
      </w:r>
    </w:p>
    <w:p>
      <w:pPr>
        <w:pStyle w:val="ConsNormal1"/>
        <w:widowControl/>
        <w:ind w:left="0" w:right="0" w:hanging="0"/>
        <w:rPr>
          <w:rFonts w:ascii="Times New Roman" w:hAnsi="Times New Roman"/>
          <w:b/>
          <w:b/>
          <w:sz w:val="22"/>
        </w:rPr>
      </w:pPr>
      <w:r>
        <w:rPr>
          <w:rFonts w:ascii="Times New Roman" w:hAnsi="Times New Roman"/>
          <w:b/>
          <w:sz w:val="22"/>
        </w:rPr>
      </w:r>
    </w:p>
    <w:p>
      <w:pPr>
        <w:pStyle w:val="Normal"/>
        <w:rPr>
          <w:sz w:val="22"/>
        </w:rPr>
      </w:pPr>
      <w:r>
        <w:rPr/>
      </w:r>
    </w:p>
    <w:sectPr>
      <w:type w:val="nextPage"/>
      <w:pgSz w:w="11906" w:h="16838"/>
      <w:pgMar w:left="993" w:right="707" w:header="0" w:top="568" w:footer="0" w:bottom="28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XO Thames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eading 10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toc 10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link w:val="Style_5_ch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link w:val="Style_18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0"/>
    </w:pPr>
    <w:rPr>
      <w:rFonts w:ascii="XO Thames" w:hAnsi="XO Thames" w:eastAsia="NSimSun" w:cs="Lucida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link w:val="Style_34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1"/>
    </w:pPr>
    <w:rPr>
      <w:rFonts w:ascii="XO Thames" w:hAnsi="XO Thames" w:eastAsia="NSimSun" w:cs="Lucida Sans"/>
      <w:b/>
      <w:color w:val="00A0FF"/>
      <w:spacing w:val="0"/>
      <w:kern w:val="0"/>
      <w:sz w:val="26"/>
      <w:szCs w:val="20"/>
      <w:lang w:val="ru-RU" w:eastAsia="zh-CN" w:bidi="hi-IN"/>
    </w:rPr>
  </w:style>
  <w:style w:type="paragraph" w:styleId="3">
    <w:name w:val="Heading 3"/>
    <w:next w:val="Normal"/>
    <w:link w:val="Style_12_ch"/>
    <w:uiPriority w:val="9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  <w:outlineLvl w:val="2"/>
    </w:pPr>
    <w:rPr>
      <w:rFonts w:ascii="XO Thames" w:hAnsi="XO Thames" w:eastAsia="NSimSun" w:cs="Lucida Sans"/>
      <w:b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4">
    <w:name w:val="Heading 4"/>
    <w:next w:val="Normal"/>
    <w:link w:val="Style_32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3"/>
    </w:pPr>
    <w:rPr>
      <w:rFonts w:ascii="XO Thames" w:hAnsi="XO Thames" w:eastAsia="NSimSun" w:cs="Lucida Sans"/>
      <w:b/>
      <w:color w:val="595959"/>
      <w:spacing w:val="0"/>
      <w:kern w:val="0"/>
      <w:sz w:val="26"/>
      <w:szCs w:val="20"/>
      <w:lang w:val="ru-RU" w:eastAsia="zh-CN" w:bidi="hi-IN"/>
    </w:rPr>
  </w:style>
  <w:style w:type="paragraph" w:styleId="5">
    <w:name w:val="Heading 5"/>
    <w:next w:val="Normal"/>
    <w:link w:val="Style_17_ch"/>
    <w:uiPriority w:val="9"/>
    <w:qFormat/>
    <w:pPr>
      <w:widowControl/>
      <w:suppressAutoHyphens w:val="true"/>
      <w:bidi w:val="0"/>
      <w:spacing w:lineRule="auto" w:line="240" w:before="120" w:after="120"/>
      <w:ind w:left="0" w:right="0" w:hanging="0"/>
      <w:jc w:val="left"/>
      <w:outlineLvl w:val="4"/>
    </w:pPr>
    <w:rPr>
      <w:rFonts w:ascii="XO Thames" w:hAnsi="XO Thames" w:eastAsia="NSimSun" w:cs="Lucida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link w:val="Style_6"/>
    <w:qFormat/>
    <w:rPr/>
  </w:style>
  <w:style w:type="character" w:styleId="Contents4">
    <w:name w:val="Contents 4"/>
    <w:link w:val="Style_7"/>
    <w:qFormat/>
    <w:rPr/>
  </w:style>
  <w:style w:type="character" w:styleId="Header">
    <w:name w:val="Header"/>
    <w:link w:val="Style_8"/>
    <w:qFormat/>
    <w:rPr/>
  </w:style>
  <w:style w:type="character" w:styleId="Contents6">
    <w:name w:val="Contents 6"/>
    <w:link w:val="Style_9"/>
    <w:qFormat/>
    <w:rPr/>
  </w:style>
  <w:style w:type="character" w:styleId="Contents7">
    <w:name w:val="Contents 7"/>
    <w:link w:val="Style_10"/>
    <w:qFormat/>
    <w:rPr/>
  </w:style>
  <w:style w:type="character" w:styleId="Annotationtext">
    <w:name w:val="annotation text"/>
    <w:link w:val="Style_11"/>
    <w:qFormat/>
    <w:rPr>
      <w:sz w:val="20"/>
    </w:rPr>
  </w:style>
  <w:style w:type="character" w:styleId="Heading3">
    <w:name w:val="Heading 3"/>
    <w:link w:val="Style_12"/>
    <w:qFormat/>
    <w:rPr>
      <w:rFonts w:ascii="XO Thames" w:hAnsi="XO Thames"/>
      <w:b/>
      <w:i/>
      <w:color w:val="000000"/>
    </w:rPr>
  </w:style>
  <w:style w:type="character" w:styleId="Annotationreference">
    <w:name w:val="annotation reference"/>
    <w:link w:val="Style_13"/>
    <w:qFormat/>
    <w:rPr>
      <w:sz w:val="16"/>
    </w:rPr>
  </w:style>
  <w:style w:type="character" w:styleId="Annotationsubject">
    <w:name w:val="annotation subject"/>
    <w:basedOn w:val="Annotationtext"/>
    <w:link w:val="Style_14"/>
    <w:qFormat/>
    <w:rPr>
      <w:b/>
    </w:rPr>
  </w:style>
  <w:style w:type="character" w:styleId="Contents3">
    <w:name w:val="Contents 3"/>
    <w:link w:val="Style_15"/>
    <w:qFormat/>
    <w:rPr/>
  </w:style>
  <w:style w:type="character" w:styleId="11">
    <w:name w:val="Заголовок №1"/>
    <w:link w:val="Style_16"/>
    <w:qFormat/>
    <w:rPr>
      <w:rFonts w:ascii="Calibri" w:hAnsi="Calibri"/>
      <w:b/>
      <w:sz w:val="27"/>
    </w:rPr>
  </w:style>
  <w:style w:type="character" w:styleId="ConsNonformat">
    <w:name w:val="ConsNonformat"/>
    <w:link w:val="Style_4"/>
    <w:qFormat/>
    <w:rPr>
      <w:rFonts w:ascii="Courier New" w:hAnsi="Courier New"/>
    </w:rPr>
  </w:style>
  <w:style w:type="character" w:styleId="Heading5">
    <w:name w:val="Heading 5"/>
    <w:link w:val="Style_17"/>
    <w:qFormat/>
    <w:rPr>
      <w:rFonts w:ascii="XO Thames" w:hAnsi="XO Thames"/>
      <w:b/>
      <w:color w:val="000000"/>
      <w:sz w:val="22"/>
    </w:rPr>
  </w:style>
  <w:style w:type="character" w:styleId="Heading1">
    <w:name w:val="Heading 1"/>
    <w:link w:val="Style_18"/>
    <w:qFormat/>
    <w:rPr>
      <w:rFonts w:ascii="XO Thames" w:hAnsi="XO Thames"/>
      <w:b/>
      <w:sz w:val="32"/>
    </w:rPr>
  </w:style>
  <w:style w:type="character" w:styleId="Style9">
    <w:name w:val="Интернет-ссылка"/>
    <w:link w:val="Style_19"/>
    <w:rPr>
      <w:color w:val="0000FF"/>
      <w:u w:val="single"/>
    </w:rPr>
  </w:style>
  <w:style w:type="character" w:styleId="Footnote">
    <w:name w:val="Footnote"/>
    <w:link w:val="Style_20"/>
    <w:qFormat/>
    <w:rPr>
      <w:rFonts w:ascii="XO Thames" w:hAnsi="XO Thames"/>
      <w:sz w:val="22"/>
    </w:rPr>
  </w:style>
  <w:style w:type="character" w:styleId="Contents1">
    <w:name w:val="Contents 1"/>
    <w:link w:val="Style_21"/>
    <w:qFormat/>
    <w:rPr>
      <w:rFonts w:ascii="XO Thames" w:hAnsi="XO Thames"/>
      <w:b/>
    </w:rPr>
  </w:style>
  <w:style w:type="character" w:styleId="HeaderandFooter">
    <w:name w:val="Header and Footer"/>
    <w:link w:val="Style_22"/>
    <w:qFormat/>
    <w:rPr>
      <w:rFonts w:ascii="XO Thames" w:hAnsi="XO Thames"/>
      <w:sz w:val="20"/>
    </w:rPr>
  </w:style>
  <w:style w:type="character" w:styleId="Contents9">
    <w:name w:val="Contents 9"/>
    <w:link w:val="Style_23"/>
    <w:qFormat/>
    <w:rPr/>
  </w:style>
  <w:style w:type="character" w:styleId="Contents8">
    <w:name w:val="Contents 8"/>
    <w:link w:val="Style_24"/>
    <w:qFormat/>
    <w:rPr/>
  </w:style>
  <w:style w:type="character" w:styleId="ConsNormal">
    <w:name w:val="ConsNormal"/>
    <w:link w:val="Style_1"/>
    <w:qFormat/>
    <w:rPr>
      <w:rFonts w:ascii="Arial" w:hAnsi="Arial"/>
    </w:rPr>
  </w:style>
  <w:style w:type="character" w:styleId="Footer">
    <w:name w:val="Footer"/>
    <w:link w:val="Style_25"/>
    <w:qFormat/>
    <w:rPr/>
  </w:style>
  <w:style w:type="character" w:styleId="Contents5">
    <w:name w:val="Contents 5"/>
    <w:link w:val="Style_26"/>
    <w:qFormat/>
    <w:rPr/>
  </w:style>
  <w:style w:type="character" w:styleId="DefaultParagraphFont">
    <w:name w:val="Default Paragraph Font"/>
    <w:link w:val="Style_27"/>
    <w:qFormat/>
    <w:rPr/>
  </w:style>
  <w:style w:type="character" w:styleId="Textbodyindent">
    <w:name w:val="Text body indent"/>
    <w:link w:val="Style_2"/>
    <w:qFormat/>
    <w:rPr/>
  </w:style>
  <w:style w:type="character" w:styleId="BalloonText">
    <w:name w:val="Balloon Text"/>
    <w:link w:val="Style_28"/>
    <w:qFormat/>
    <w:rPr>
      <w:rFonts w:ascii="Tahoma" w:hAnsi="Tahoma"/>
      <w:sz w:val="16"/>
    </w:rPr>
  </w:style>
  <w:style w:type="character" w:styleId="Subtitle">
    <w:name w:val="Subtitle"/>
    <w:link w:val="Style_29"/>
    <w:qFormat/>
    <w:rPr>
      <w:rFonts w:ascii="XO Thames" w:hAnsi="XO Thames"/>
      <w:i/>
      <w:color w:val="616161"/>
      <w:sz w:val="24"/>
    </w:rPr>
  </w:style>
  <w:style w:type="character" w:styleId="Toc10">
    <w:name w:val="toc 10"/>
    <w:link w:val="Style_30"/>
    <w:qFormat/>
    <w:rPr/>
  </w:style>
  <w:style w:type="character" w:styleId="Title">
    <w:name w:val="Title"/>
    <w:link w:val="Style_31"/>
    <w:qFormat/>
    <w:rPr>
      <w:b/>
      <w:sz w:val="28"/>
    </w:rPr>
  </w:style>
  <w:style w:type="character" w:styleId="Heading4">
    <w:name w:val="Heading 4"/>
    <w:link w:val="Style_32"/>
    <w:qFormat/>
    <w:rPr>
      <w:rFonts w:ascii="XO Thames" w:hAnsi="XO Thames"/>
      <w:b/>
      <w:color w:val="595959"/>
      <w:sz w:val="26"/>
    </w:rPr>
  </w:style>
  <w:style w:type="character" w:styleId="Wmicallto">
    <w:name w:val="wmi-callto"/>
    <w:link w:val="Style_33"/>
    <w:qFormat/>
    <w:rPr/>
  </w:style>
  <w:style w:type="character" w:styleId="Heading2">
    <w:name w:val="Heading 2"/>
    <w:link w:val="Style_34"/>
    <w:qFormat/>
    <w:rPr>
      <w:rFonts w:ascii="XO Thames" w:hAnsi="XO Thames"/>
      <w:b/>
      <w:color w:val="00A0FF"/>
      <w:sz w:val="26"/>
    </w:rPr>
  </w:style>
  <w:style w:type="paragraph" w:styleId="Style10">
    <w:name w:val="Заголовок"/>
    <w:basedOn w:val="Normal"/>
    <w:next w:val="Style1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1">
    <w:name w:val="Body Text"/>
    <w:basedOn w:val="Normal"/>
    <w:pPr>
      <w:spacing w:lineRule="auto" w:line="276" w:before="0" w:after="140"/>
    </w:pPr>
    <w:rPr/>
  </w:style>
  <w:style w:type="paragraph" w:styleId="Style12">
    <w:name w:val="List"/>
    <w:basedOn w:val="Style11"/>
    <w:pPr/>
    <w:rPr>
      <w:rFonts w:cs="Lucida Sans"/>
    </w:rPr>
  </w:style>
  <w:style w:type="paragraph" w:styleId="Style13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21">
    <w:name w:val="TOC 2"/>
    <w:next w:val="Normal"/>
    <w:link w:val="Style_6_ch"/>
    <w:uiPriority w:val="39"/>
    <w:pPr>
      <w:widowControl/>
      <w:suppressAutoHyphens w:val="true"/>
      <w:bidi w:val="0"/>
      <w:spacing w:lineRule="auto" w:line="240" w:before="0" w:after="0"/>
      <w:ind w:left="2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41">
    <w:name w:val="TOC 4"/>
    <w:next w:val="Normal"/>
    <w:link w:val="Style_7_ch"/>
    <w:uiPriority w:val="39"/>
    <w:pPr>
      <w:widowControl/>
      <w:suppressAutoHyphens w:val="true"/>
      <w:bidi w:val="0"/>
      <w:spacing w:lineRule="auto" w:line="240" w:before="0" w:after="0"/>
      <w:ind w:left="6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5">
    <w:name w:val="Колонтитул"/>
    <w:link w:val="Style_22_ch"/>
    <w:qFormat/>
    <w:pPr>
      <w:widowControl/>
      <w:suppressAutoHyphens w:val="true"/>
      <w:bidi w:val="0"/>
      <w:spacing w:lineRule="auto" w:line="360" w:before="0" w:after="0"/>
      <w:ind w:left="0" w:right="0" w:hanging="0"/>
      <w:jc w:val="left"/>
    </w:pPr>
    <w:rPr>
      <w:rFonts w:ascii="XO Thames" w:hAnsi="XO Thames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6">
    <w:name w:val="Header"/>
    <w:basedOn w:val="Normal"/>
    <w:link w:val="Style_8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6">
    <w:name w:val="TOC 6"/>
    <w:next w:val="Normal"/>
    <w:link w:val="Style_9_ch"/>
    <w:uiPriority w:val="39"/>
    <w:pPr>
      <w:widowControl/>
      <w:suppressAutoHyphens w:val="true"/>
      <w:bidi w:val="0"/>
      <w:spacing w:lineRule="auto" w:line="240" w:before="0" w:after="0"/>
      <w:ind w:left="10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7">
    <w:name w:val="TOC 7"/>
    <w:next w:val="Normal"/>
    <w:link w:val="Style_10_ch"/>
    <w:uiPriority w:val="39"/>
    <w:pPr>
      <w:widowControl/>
      <w:suppressAutoHyphens w:val="true"/>
      <w:bidi w:val="0"/>
      <w:spacing w:lineRule="auto" w:line="240" w:before="0" w:after="0"/>
      <w:ind w:left="12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Annotationtext1">
    <w:name w:val="annotation text"/>
    <w:basedOn w:val="Normal"/>
    <w:link w:val="Style_11_ch"/>
    <w:qFormat/>
    <w:pPr/>
    <w:rPr>
      <w:sz w:val="20"/>
    </w:rPr>
  </w:style>
  <w:style w:type="paragraph" w:styleId="Annotationreference1">
    <w:name w:val="annotation reference"/>
    <w:link w:val="Style_1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16"/>
      <w:szCs w:val="20"/>
      <w:lang w:val="ru-RU" w:eastAsia="zh-CN" w:bidi="hi-IN"/>
    </w:rPr>
  </w:style>
  <w:style w:type="paragraph" w:styleId="Annotationsubject1">
    <w:name w:val="annotation subject"/>
    <w:basedOn w:val="Annotationtext1"/>
    <w:next w:val="Annotationtext1"/>
    <w:link w:val="Style_14_ch"/>
    <w:qFormat/>
    <w:pPr/>
    <w:rPr>
      <w:b/>
    </w:rPr>
  </w:style>
  <w:style w:type="paragraph" w:styleId="31">
    <w:name w:val="TOC 3"/>
    <w:next w:val="Normal"/>
    <w:link w:val="Style_15_ch"/>
    <w:uiPriority w:val="39"/>
    <w:pPr>
      <w:widowControl/>
      <w:suppressAutoHyphens w:val="true"/>
      <w:bidi w:val="0"/>
      <w:spacing w:lineRule="auto" w:line="240" w:before="0" w:after="0"/>
      <w:ind w:left="4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12">
    <w:name w:val="Заголовок №1"/>
    <w:basedOn w:val="Normal"/>
    <w:link w:val="Style_16_ch"/>
    <w:qFormat/>
    <w:pPr>
      <w:spacing w:lineRule="exact" w:line="389" w:before="360" w:after="120"/>
      <w:outlineLvl w:val="0"/>
    </w:pPr>
    <w:rPr>
      <w:rFonts w:ascii="Calibri" w:hAnsi="Calibri"/>
      <w:b/>
      <w:sz w:val="27"/>
    </w:rPr>
  </w:style>
  <w:style w:type="paragraph" w:styleId="ConsNonformat1">
    <w:name w:val="ConsNonformat"/>
    <w:link w:val="Style_4_ch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link w:val="Style_19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"/>
    <w:link w:val="Style_20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Lucida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3">
    <w:name w:val="TOC 1"/>
    <w:next w:val="Normal"/>
    <w:link w:val="Style_21_ch"/>
    <w:uiPriority w:val="39"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Lucida Sans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9">
    <w:name w:val="TOC 9"/>
    <w:next w:val="Normal"/>
    <w:link w:val="Style_23_ch"/>
    <w:uiPriority w:val="39"/>
    <w:pPr>
      <w:widowControl/>
      <w:suppressAutoHyphens w:val="true"/>
      <w:bidi w:val="0"/>
      <w:spacing w:lineRule="auto" w:line="240" w:before="0" w:after="0"/>
      <w:ind w:left="16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8">
    <w:name w:val="TOC 8"/>
    <w:next w:val="Normal"/>
    <w:link w:val="Style_24_ch"/>
    <w:uiPriority w:val="39"/>
    <w:pPr>
      <w:widowControl/>
      <w:suppressAutoHyphens w:val="true"/>
      <w:bidi w:val="0"/>
      <w:spacing w:lineRule="auto" w:line="240" w:before="0" w:after="0"/>
      <w:ind w:left="14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sNormal1">
    <w:name w:val="ConsNormal"/>
    <w:link w:val="Style_1_ch"/>
    <w:qFormat/>
    <w:pPr>
      <w:widowControl w:val="false"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Arial" w:hAnsi="Arial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7">
    <w:name w:val="Footer"/>
    <w:basedOn w:val="Normal"/>
    <w:link w:val="Style_25_ch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51">
    <w:name w:val="TOC 5"/>
    <w:next w:val="Normal"/>
    <w:link w:val="Style_26_ch"/>
    <w:uiPriority w:val="39"/>
    <w:pPr>
      <w:widowControl/>
      <w:suppressAutoHyphens w:val="true"/>
      <w:bidi w:val="0"/>
      <w:spacing w:lineRule="auto" w:line="240" w:before="0" w:after="0"/>
      <w:ind w:left="8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DefaultParagraphFont1">
    <w:name w:val="Default Paragraph Font"/>
    <w:link w:val="Style_27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8">
    <w:name w:val="Body Text Indent"/>
    <w:basedOn w:val="Normal"/>
    <w:link w:val="Style_2_ch"/>
    <w:pPr>
      <w:ind w:left="0" w:right="0" w:firstLine="567"/>
      <w:jc w:val="both"/>
    </w:pPr>
    <w:rPr/>
  </w:style>
  <w:style w:type="paragraph" w:styleId="BalloonText1">
    <w:name w:val="Balloon Text"/>
    <w:basedOn w:val="Normal"/>
    <w:link w:val="Style_28_ch"/>
    <w:qFormat/>
    <w:pPr/>
    <w:rPr>
      <w:rFonts w:ascii="Tahoma" w:hAnsi="Tahoma"/>
      <w:sz w:val="16"/>
    </w:rPr>
  </w:style>
  <w:style w:type="paragraph" w:styleId="Style19">
    <w:name w:val="Subtitle"/>
    <w:next w:val="Normal"/>
    <w:link w:val="Style_29_ch"/>
    <w:uiPriority w:val="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XO Thames" w:hAnsi="XO Thames" w:eastAsia="NSimSun" w:cs="Lucida Sans"/>
      <w:i/>
      <w:color w:val="616161"/>
      <w:spacing w:val="0"/>
      <w:kern w:val="0"/>
      <w:sz w:val="24"/>
      <w:szCs w:val="20"/>
      <w:lang w:val="ru-RU" w:eastAsia="zh-CN" w:bidi="hi-IN"/>
    </w:rPr>
  </w:style>
  <w:style w:type="paragraph" w:styleId="Toc101">
    <w:name w:val="toc 10"/>
    <w:next w:val="Normal"/>
    <w:link w:val="Style_30_ch"/>
    <w:uiPriority w:val="39"/>
    <w:qFormat/>
    <w:pPr>
      <w:widowControl/>
      <w:suppressAutoHyphens w:val="true"/>
      <w:bidi w:val="0"/>
      <w:spacing w:lineRule="auto" w:line="240" w:before="0" w:after="0"/>
      <w:ind w:left="180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Style20">
    <w:name w:val="Title"/>
    <w:basedOn w:val="Normal"/>
    <w:link w:val="Style_31_ch"/>
    <w:uiPriority w:val="10"/>
    <w:qFormat/>
    <w:pPr>
      <w:jc w:val="center"/>
    </w:pPr>
    <w:rPr>
      <w:b/>
      <w:sz w:val="28"/>
    </w:rPr>
  </w:style>
  <w:style w:type="paragraph" w:styleId="Wmicallto1">
    <w:name w:val="wmi-callto"/>
    <w:link w:val="Style_33_ch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paragraph" w:styleId="LOnormal">
    <w:name w:val="LO-normal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SimSun" w:cs="Lucida Sans"/>
      <w:color w:val="000000"/>
      <w:spacing w:val="0"/>
      <w:kern w:val="0"/>
      <w:sz w:val="20"/>
      <w:szCs w:val="20"/>
      <w:lang w:val="ru-RU" w:eastAsia="zh-CN" w:bidi="hi-IN"/>
    </w:rPr>
  </w:style>
  <w:style w:type="table" w:default="1" w:styleId="Style_3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LibreOffice/7.1.7.2$Windows_X86_64 LibreOffice_project/c6a4e3954236145e2acb0b65f68614365aeee33f</Application>
  <AppVersion>15.0000</AppVersion>
  <Pages>2</Pages>
  <Words>849</Words>
  <Characters>5842</Characters>
  <CharactersWithSpaces>6804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2025-08-01T17:04:07Z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